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center"/>
        <w:rPr>
          <w:caps w:val="false"/>
          <w:smallCaps w:val="false"/>
        </w:rPr>
      </w:pPr>
      <w:bookmarkStart w:id="0" w:name="form10-q.htm"/>
      <w:bookmarkStart w:id="1" w:name="ksform10q"/>
      <w:bookmarkEnd w:id="0"/>
      <w:bookmarkEnd w:id="1"/>
      <w:r>
        <w:rPr>
          <w:caps w:val="false"/>
          <w:smallCaps w:val="false"/>
        </w:rPr>
        <w:t> </w:t>
      </w:r>
    </w:p>
    <w:p>
      <w:pPr>
        <w:pStyle w:val="TextBody"/>
        <w:bidi w:val="0"/>
        <w:jc w:val="left"/>
        <w:rPr>
          <w:bdr w:val="single" w:sz="32" w:space="1" w:color="000000"/>
        </w:rPr>
      </w:pPr>
      <w:r>
        <w:rPr>
          <w:bdr w:val="single" w:sz="32"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Washington, D.C. 20549</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FORM </w:t>
      </w:r>
      <w:bookmarkStart w:id="2" w:name="xdx_903_edei--DocumentType_c20250101__20"/>
      <w:bookmarkEnd w:id="2"/>
      <w:r>
        <w:rPr>
          <w:rFonts w:ascii="Times New Roman;Times;Serif" w:hAnsi="Times New Roman;Times;Serif"/>
          <w:b/>
          <w:i w:val="false"/>
          <w:caps w:val="false"/>
          <w:smallCaps w:val="false"/>
          <w:sz w:val="36"/>
        </w:rPr>
        <w:t>10-Q</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(Mark One)</w:t>
      </w:r>
    </w:p>
    <w:p>
      <w:pPr>
        <w:pStyle w:val="TextBody"/>
        <w:bidi w:val="0"/>
        <w:spacing w:before="0" w:after="0"/>
        <w:jc w:val="center"/>
        <w:rPr>
          <w:caps w:val="false"/>
          <w:smallCaps w:val="false"/>
        </w:rPr>
      </w:pPr>
      <w:r>
        <w:rPr>
          <w:caps w:val="false"/>
          <w:smallCaps w:val="false"/>
        </w:rPr>
        <w:t> </w:t>
      </w:r>
    </w:p>
    <w:tbl>
      <w:tblPr>
        <w:tblW w:w="10135" w:type="dxa"/>
        <w:jc w:val="left"/>
        <w:tblInd w:w="0" w:type="dxa"/>
        <w:tblLayout w:type="fixed"/>
        <w:tblCellMar>
          <w:top w:w="0" w:type="dxa"/>
          <w:left w:w="0" w:type="dxa"/>
          <w:bottom w:w="0" w:type="dxa"/>
          <w:right w:w="0" w:type="dxa"/>
        </w:tblCellMar>
      </w:tblPr>
      <w:tblGrid>
        <w:gridCol w:w="245"/>
        <w:gridCol w:w="9890"/>
      </w:tblGrid>
      <w:tr>
        <w:trPr/>
        <w:tc>
          <w:tcPr>
            <w:tcW w:w="245" w:type="dxa"/>
            <w:tcBorders/>
            <w:vAlign w:val="center"/>
          </w:tcPr>
          <w:p>
            <w:pPr>
              <w:pStyle w:val="TableContents"/>
              <w:bidi w:val="0"/>
              <w:spacing w:before="0" w:after="283"/>
              <w:jc w:val="both"/>
              <w:rPr>
                <w:caps w:val="false"/>
                <w:smallCaps w:val="false"/>
              </w:rPr>
            </w:pPr>
            <w:bookmarkStart w:id="3" w:name="xdx_900_edei--DocumentQuarterlyReport_c2"/>
            <w:bookmarkEnd w:id="3"/>
            <w:r>
              <w:rPr>
                <w:caps w:val="false"/>
                <w:smallCaps w:val="false"/>
              </w:rPr>
              <w:t>☒</w:t>
            </w:r>
          </w:p>
        </w:tc>
        <w:tc>
          <w:tcPr>
            <w:tcW w:w="989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QUARTERLY REPORT PURSUANT TO SECTION 13 OR 15(d) OF THE SECURITIES EXCHANGE ACT OF 1934</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For the quarterly period ended </w:t>
      </w:r>
      <w:bookmarkStart w:id="4" w:name="xdx_908_edei--DocumentPeriodEndDate_c202"/>
      <w:bookmarkEnd w:id="4"/>
      <w:r>
        <w:rPr>
          <w:rFonts w:ascii="Times New Roman;Times;Serif" w:hAnsi="Times New Roman;Times;Serif"/>
          <w:b/>
          <w:i w:val="false"/>
          <w:caps w:val="false"/>
          <w:smallCaps w:val="false"/>
          <w:sz w:val="20"/>
        </w:rPr>
        <w:t xml:space="preserve">September 30, </w:t>
      </w:r>
      <w:bookmarkStart w:id="5" w:name="xdx_90E_edei--DocumentFiscalYearFocus_c2"/>
      <w:bookmarkEnd w:id="5"/>
      <w:r>
        <w:rPr>
          <w:rFonts w:ascii="Times New Roman;Times;Serif" w:hAnsi="Times New Roman;Times;Serif"/>
          <w:b/>
          <w:i w:val="false"/>
          <w:caps w:val="false"/>
          <w:smallCaps w:val="false"/>
          <w:sz w:val="20"/>
        </w:rPr>
        <w:t>2025</w:t>
      </w:r>
    </w:p>
    <w:p>
      <w:pPr>
        <w:pStyle w:val="TextBody"/>
        <w:bidi w:val="0"/>
        <w:spacing w:before="0" w:after="0"/>
        <w:jc w:val="center"/>
        <w:rPr>
          <w:caps w:val="false"/>
          <w:smallCaps w:val="false"/>
        </w:rPr>
      </w:pPr>
      <w:r>
        <w:rPr>
          <w:caps w:val="false"/>
          <w:smallCaps w:val="false"/>
        </w:rPr>
        <w:t> </w:t>
      </w:r>
    </w:p>
    <w:tbl>
      <w:tblPr>
        <w:tblW w:w="10120" w:type="dxa"/>
        <w:jc w:val="left"/>
        <w:tblInd w:w="0" w:type="dxa"/>
        <w:tblLayout w:type="fixed"/>
        <w:tblCellMar>
          <w:top w:w="0" w:type="dxa"/>
          <w:left w:w="0" w:type="dxa"/>
          <w:bottom w:w="0" w:type="dxa"/>
          <w:right w:w="0" w:type="dxa"/>
        </w:tblCellMar>
      </w:tblPr>
      <w:tblGrid>
        <w:gridCol w:w="245"/>
        <w:gridCol w:w="9875"/>
      </w:tblGrid>
      <w:tr>
        <w:trPr/>
        <w:tc>
          <w:tcPr>
            <w:tcW w:w="245" w:type="dxa"/>
            <w:tcBorders/>
            <w:vAlign w:val="center"/>
          </w:tcPr>
          <w:p>
            <w:pPr>
              <w:pStyle w:val="TableContents"/>
              <w:bidi w:val="0"/>
              <w:spacing w:before="0" w:after="283"/>
              <w:jc w:val="both"/>
              <w:rPr>
                <w:caps w:val="false"/>
                <w:smallCaps w:val="false"/>
              </w:rPr>
            </w:pPr>
            <w:bookmarkStart w:id="6" w:name="xdx_90B_edei--DocumentTransitionReport_c"/>
            <w:bookmarkEnd w:id="6"/>
            <w:r>
              <w:rPr>
                <w:caps w:val="false"/>
                <w:smallCaps w:val="false"/>
              </w:rPr>
              <w:t>☐</w:t>
            </w:r>
          </w:p>
        </w:tc>
        <w:tc>
          <w:tcPr>
            <w:tcW w:w="987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TRANSITION REPORT PURSUANT TO SECTION 13 OR 15(d) OF THE SECURITIES EXCHANGE ACT OF 1934</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transition period from to</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Commission file number: </w:t>
      </w:r>
      <w:bookmarkStart w:id="7" w:name="xdx_902_edei--EntityFileNumber_c20250101"/>
      <w:bookmarkEnd w:id="7"/>
      <w:r>
        <w:rPr>
          <w:rFonts w:ascii="Times New Roman;Times;Serif" w:hAnsi="Times New Roman;Times;Serif"/>
          <w:b/>
          <w:i w:val="false"/>
          <w:caps w:val="false"/>
          <w:smallCaps w:val="false"/>
          <w:sz w:val="20"/>
        </w:rPr>
        <w:t>001-38659</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36"/>
          <w:u w:val="single"/>
        </w:rPr>
      </w:pPr>
      <w:bookmarkStart w:id="8" w:name="xdx_908_edei--EntityRegistrantName_c2025"/>
      <w:bookmarkEnd w:id="8"/>
      <w:r>
        <w:rPr>
          <w:rFonts w:ascii="Times New Roman;Times;Serif" w:hAnsi="Times New Roman;Times;Serif"/>
          <w:b/>
          <w:i w:val="false"/>
          <w:caps w:val="false"/>
          <w:smallCaps w:val="false"/>
          <w:sz w:val="36"/>
          <w:u w:val="single"/>
        </w:rPr>
        <w:t>STREAMEX CORP.</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jc w:val="center"/>
        <w:rPr>
          <w:caps w:val="false"/>
          <w:smallCaps w:val="false"/>
        </w:rPr>
      </w:pPr>
      <w:r>
        <w:rPr>
          <w:caps w:val="false"/>
          <w:smallCaps w:val="false"/>
        </w:rPr>
        <w:t> </w:t>
      </w:r>
    </w:p>
    <w:tbl>
      <w:tblPr>
        <w:tblW w:w="5125" w:type="dxa"/>
        <w:jc w:val="left"/>
        <w:tblInd w:w="0" w:type="dxa"/>
        <w:tblLayout w:type="fixed"/>
        <w:tblCellMar>
          <w:top w:w="0" w:type="dxa"/>
          <w:left w:w="0" w:type="dxa"/>
          <w:bottom w:w="28" w:type="dxa"/>
          <w:right w:w="0" w:type="dxa"/>
        </w:tblCellMar>
      </w:tblPr>
      <w:tblGrid>
        <w:gridCol w:w="3530"/>
        <w:gridCol w:w="60"/>
        <w:gridCol w:w="1535"/>
      </w:tblGrid>
      <w:tr>
        <w:trPr/>
        <w:tc>
          <w:tcPr>
            <w:tcW w:w="353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9" w:name="xdx_900_edei--EntityIncorporationStateCo"/>
            <w:bookmarkEnd w:id="9"/>
            <w:r>
              <w:rPr>
                <w:rFonts w:ascii="Times New Roman;Times;Serif" w:hAnsi="Times New Roman;Times;Serif"/>
                <w:b/>
                <w:i w:val="false"/>
                <w:caps w:val="false"/>
                <w:smallCaps w:val="false"/>
                <w:sz w:val="20"/>
              </w:rPr>
              <w:t>Delaware</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53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10" w:name="xdx_903_edei--EntityTaxIdentificationNum"/>
            <w:bookmarkEnd w:id="10"/>
            <w:r>
              <w:rPr>
                <w:rFonts w:ascii="Times New Roman;Times;Serif" w:hAnsi="Times New Roman;Times;Serif"/>
                <w:b/>
                <w:i w:val="false"/>
                <w:caps w:val="false"/>
                <w:smallCaps w:val="false"/>
                <w:sz w:val="20"/>
              </w:rPr>
              <w:t>26-4333375</w:t>
            </w:r>
          </w:p>
        </w:tc>
      </w:tr>
      <w:tr>
        <w:trPr/>
        <w:tc>
          <w:tcPr>
            <w:tcW w:w="3530" w:type="dxa"/>
            <w:tcBorders/>
            <w:tcMar>
              <w:bottom w:w="0" w:type="dxa"/>
            </w:tcMar>
            <w:vAlign w:val="center"/>
          </w:tcPr>
          <w:p>
            <w:pPr>
              <w:pStyle w:val="TableContents"/>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or other jurisdiction of incorporation</w:t>
            </w:r>
          </w:p>
          <w:p>
            <w:pPr>
              <w:pStyle w:val="TableContents"/>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or organization)</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535" w:type="dxa"/>
            <w:tcBorders/>
            <w:tcMar>
              <w:bottom w:w="0" w:type="dxa"/>
            </w:tcMar>
            <w:vAlign w:val="center"/>
          </w:tcPr>
          <w:p>
            <w:pPr>
              <w:pStyle w:val="TableContents"/>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(IRS Employer</w:t>
            </w:r>
          </w:p>
          <w:p>
            <w:pPr>
              <w:pStyle w:val="TableContents"/>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Identification No.)</w:t>
            </w:r>
          </w:p>
        </w:tc>
      </w:tr>
      <w:tr>
        <w:trPr/>
        <w:tc>
          <w:tcPr>
            <w:tcW w:w="353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53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3530" w:type="dxa"/>
            <w:tcBorders>
              <w:bottom w:val="single" w:sz="8" w:space="0" w:color="000000"/>
            </w:tcBorders>
            <w:vAlign w:val="center"/>
          </w:tcPr>
          <w:p>
            <w:pPr>
              <w:pStyle w:val="TableContents"/>
              <w:shd w:fill="FFFFFF" w:val="clear"/>
              <w:bidi w:val="0"/>
              <w:spacing w:before="0" w:after="0"/>
              <w:jc w:val="center"/>
              <w:rPr>
                <w:rFonts w:ascii="Times New Roman;Times;Serif" w:hAnsi="Times New Roman;Times;Serif"/>
                <w:b/>
                <w:i w:val="false"/>
                <w:caps w:val="false"/>
                <w:smallCaps w:val="false"/>
                <w:sz w:val="20"/>
              </w:rPr>
            </w:pPr>
            <w:bookmarkStart w:id="11" w:name="xdx_90F_edei--EntityAddressAddressLine1_"/>
            <w:bookmarkEnd w:id="11"/>
            <w:r>
              <w:rPr>
                <w:rFonts w:ascii="Times New Roman;Times;Serif" w:hAnsi="Times New Roman;Times;Serif"/>
                <w:b/>
                <w:i w:val="false"/>
                <w:caps w:val="false"/>
                <w:smallCaps w:val="false"/>
                <w:sz w:val="20"/>
              </w:rPr>
              <w:t xml:space="preserve">2431 Aloma Avenue, </w:t>
            </w:r>
            <w:bookmarkStart w:id="12" w:name="xdx_904_edei--EntityAddressAddressLine2_"/>
            <w:bookmarkEnd w:id="12"/>
            <w:r>
              <w:rPr>
                <w:rFonts w:ascii="Times New Roman;Times;Serif" w:hAnsi="Times New Roman;Times;Serif"/>
                <w:b/>
                <w:i w:val="false"/>
                <w:caps w:val="false"/>
                <w:smallCaps w:val="false"/>
                <w:sz w:val="20"/>
              </w:rPr>
              <w:t>Suite 243</w:t>
            </w:r>
          </w:p>
          <w:p>
            <w:pPr>
              <w:pStyle w:val="TableContents"/>
              <w:shd w:fill="FFFFFF" w:val="clear"/>
              <w:bidi w:val="0"/>
              <w:spacing w:before="0" w:after="0"/>
              <w:jc w:val="center"/>
              <w:rPr>
                <w:rFonts w:ascii="Times New Roman;Times;Serif" w:hAnsi="Times New Roman;Times;Serif"/>
                <w:b/>
                <w:i w:val="false"/>
                <w:caps w:val="false"/>
                <w:smallCaps w:val="false"/>
                <w:sz w:val="20"/>
              </w:rPr>
            </w:pPr>
            <w:bookmarkStart w:id="13" w:name="xdx_907_edei--EntityAddressCityOrTown_c2"/>
            <w:bookmarkEnd w:id="13"/>
            <w:r>
              <w:rPr>
                <w:rFonts w:ascii="Times New Roman;Times;Serif" w:hAnsi="Times New Roman;Times;Serif"/>
                <w:b/>
                <w:i w:val="false"/>
                <w:caps w:val="false"/>
                <w:smallCaps w:val="false"/>
                <w:sz w:val="20"/>
              </w:rPr>
              <w:t xml:space="preserve">Winter Park, </w:t>
            </w:r>
            <w:bookmarkStart w:id="14" w:name="xdx_90B_edei--EntityAddressStateOrProvin"/>
            <w:bookmarkEnd w:id="14"/>
            <w:r>
              <w:rPr>
                <w:rFonts w:ascii="Times New Roman;Times;Serif" w:hAnsi="Times New Roman;Times;Serif"/>
                <w:b/>
                <w:i w:val="false"/>
                <w:caps w:val="false"/>
                <w:smallCaps w:val="false"/>
                <w:sz w:val="20"/>
              </w:rPr>
              <w:t xml:space="preserve">Florida </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53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15" w:name="xdx_903_edei--EntityAddressPostalZipCode"/>
            <w:bookmarkEnd w:id="15"/>
            <w:r>
              <w:rPr>
                <w:rFonts w:ascii="Times New Roman;Times;Serif" w:hAnsi="Times New Roman;Times;Serif"/>
                <w:b/>
                <w:i w:val="false"/>
                <w:caps w:val="false"/>
                <w:smallCaps w:val="false"/>
                <w:sz w:val="20"/>
              </w:rPr>
              <w:t>32792</w:t>
            </w:r>
          </w:p>
        </w:tc>
      </w:tr>
      <w:tr>
        <w:trPr/>
        <w:tc>
          <w:tcPr>
            <w:tcW w:w="353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53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(Zip Code)</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u w:val="single"/>
        </w:rPr>
      </w:pPr>
      <w:bookmarkStart w:id="16" w:name="xdx_90E_edei--CityAreaCode_c20250101__20"/>
      <w:bookmarkEnd w:id="16"/>
      <w:r>
        <w:rPr>
          <w:rFonts w:ascii="Times New Roman;Times;Serif" w:hAnsi="Times New Roman;Times;Serif"/>
          <w:b/>
          <w:i w:val="false"/>
          <w:caps w:val="false"/>
          <w:smallCaps w:val="false"/>
          <w:sz w:val="20"/>
          <w:u w:val="single"/>
        </w:rPr>
        <w:t xml:space="preserve">(203) </w:t>
      </w:r>
      <w:bookmarkStart w:id="17" w:name="xdx_90B_edei--LocalPhoneNumber_c20250101"/>
      <w:bookmarkEnd w:id="17"/>
      <w:r>
        <w:rPr>
          <w:rFonts w:ascii="Times New Roman;Times;Serif" w:hAnsi="Times New Roman;Times;Serif"/>
          <w:b/>
          <w:i w:val="false"/>
          <w:caps w:val="false"/>
          <w:smallCaps w:val="false"/>
          <w:sz w:val="20"/>
          <w:u w:val="single"/>
        </w:rPr>
        <w:t>409-5444</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telephone number, including area code)</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registered pursuant to Section 12(b) of the Act:</w:t>
      </w:r>
    </w:p>
    <w:p>
      <w:pPr>
        <w:pStyle w:val="TextBody"/>
        <w:bidi w:val="0"/>
        <w:spacing w:before="0" w:after="0"/>
        <w:jc w:val="center"/>
        <w:rPr>
          <w:caps w:val="false"/>
          <w:smallCaps w:val="false"/>
        </w:rPr>
      </w:pPr>
      <w:r>
        <w:rPr>
          <w:caps w:val="false"/>
          <w:smallCaps w:val="false"/>
        </w:rPr>
        <w:t> </w:t>
      </w:r>
    </w:p>
    <w:tbl>
      <w:tblPr>
        <w:tblW w:w="8760" w:type="dxa"/>
        <w:jc w:val="left"/>
        <w:tblInd w:w="0" w:type="dxa"/>
        <w:tblLayout w:type="fixed"/>
        <w:tblCellMar>
          <w:top w:w="0" w:type="dxa"/>
          <w:left w:w="0" w:type="dxa"/>
          <w:bottom w:w="28" w:type="dxa"/>
          <w:right w:w="0" w:type="dxa"/>
        </w:tblCellMar>
      </w:tblPr>
      <w:tblGrid>
        <w:gridCol w:w="3515"/>
        <w:gridCol w:w="60"/>
        <w:gridCol w:w="1535"/>
        <w:gridCol w:w="60"/>
        <w:gridCol w:w="3590"/>
      </w:tblGrid>
      <w:tr>
        <w:trPr/>
        <w:tc>
          <w:tcPr>
            <w:tcW w:w="3515"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of each class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535"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Trading Symbol(s)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590"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each exchange on which registered</w:t>
            </w:r>
          </w:p>
        </w:tc>
      </w:tr>
      <w:tr>
        <w:trPr/>
        <w:tc>
          <w:tcPr>
            <w:tcW w:w="351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8" w:name="xdx_90D_edei--Security12bTitle_c20250101"/>
            <w:bookmarkEnd w:id="18"/>
            <w:r>
              <w:rPr>
                <w:rFonts w:ascii="Times New Roman;Times;Serif" w:hAnsi="Times New Roman;Times;Serif"/>
                <w:b w:val="false"/>
                <w:i w:val="false"/>
                <w:caps w:val="false"/>
                <w:smallCaps w:val="false"/>
                <w:sz w:val="20"/>
              </w:rPr>
              <w:t>Common Stock, par value $0.001 per share</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53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9" w:name="xdx_907_edei--TradingSymbol_c20250101__2"/>
            <w:bookmarkEnd w:id="19"/>
            <w:r>
              <w:rPr>
                <w:rFonts w:ascii="Times New Roman;Times;Serif" w:hAnsi="Times New Roman;Times;Serif"/>
                <w:b w:val="false"/>
                <w:i w:val="false"/>
                <w:caps w:val="false"/>
                <w:smallCaps w:val="false"/>
                <w:sz w:val="20"/>
              </w:rPr>
              <w:t>STEX</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59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w:t>
            </w:r>
            <w:bookmarkStart w:id="20" w:name="xdx_90C_edei--SecurityExchangeName_c2025"/>
            <w:bookmarkEnd w:id="20"/>
            <w:r>
              <w:rPr>
                <w:rFonts w:ascii="Times New Roman;Times;Serif" w:hAnsi="Times New Roman;Times;Serif"/>
                <w:b w:val="false"/>
                <w:i w:val="false"/>
                <w:caps w:val="false"/>
                <w:smallCaps w:val="false"/>
                <w:sz w:val="20"/>
              </w:rPr>
              <w:t>NASDAQ Capital Market</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bookmarkStart w:id="21" w:name="xdx_90C_edei--EntityCurrentReportingStat"/>
      <w:bookmarkEnd w:id="21"/>
      <w:r>
        <w:rPr>
          <w:rFonts w:ascii="Times New Roman;Times;Serif" w:hAnsi="Times New Roman;Times;Serif"/>
          <w:b w:val="false"/>
          <w:i w:val="false"/>
          <w:caps w:val="false"/>
          <w:smallCaps w:val="false"/>
          <w:sz w:val="20"/>
        </w:rPr>
        <w:t>Yes ☒ No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bookmarkStart w:id="22" w:name="xdx_90F_edei--EntityInteractiveDataCurre"/>
      <w:bookmarkEnd w:id="22"/>
      <w:r>
        <w:rPr>
          <w:rFonts w:ascii="Times New Roman;Times;Serif" w:hAnsi="Times New Roman;Times;Serif"/>
          <w:b w:val="false"/>
          <w:i w:val="false"/>
          <w:caps w:val="false"/>
          <w:smallCaps w:val="false"/>
          <w:sz w:val="20"/>
        </w:rPr>
        <w:t>Yes ☒ No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pStyle w:val="TextBody"/>
        <w:bidi w:val="0"/>
        <w:spacing w:before="0" w:after="0"/>
        <w:ind w:left="0" w:right="0" w:hanging="0"/>
        <w:jc w:val="left"/>
        <w:rPr>
          <w:caps w:val="false"/>
          <w:smallCaps w:val="false"/>
        </w:rPr>
      </w:pPr>
      <w:r>
        <w:rPr>
          <w:caps w:val="false"/>
          <w:smallCaps w:val="false"/>
        </w:rPr>
        <w:t> </w:t>
      </w:r>
    </w:p>
    <w:tbl>
      <w:tblPr>
        <w:tblW w:w="4940" w:type="dxa"/>
        <w:jc w:val="left"/>
        <w:tblInd w:w="0" w:type="dxa"/>
        <w:tblLayout w:type="fixed"/>
        <w:tblCellMar>
          <w:top w:w="0" w:type="dxa"/>
          <w:left w:w="0" w:type="dxa"/>
          <w:bottom w:w="0" w:type="dxa"/>
          <w:right w:w="0" w:type="dxa"/>
        </w:tblCellMar>
      </w:tblPr>
      <w:tblGrid>
        <w:gridCol w:w="2240"/>
        <w:gridCol w:w="230"/>
        <w:gridCol w:w="2225"/>
        <w:gridCol w:w="245"/>
      </w:tblGrid>
      <w:tr>
        <w:trPr/>
        <w:tc>
          <w:tcPr>
            <w:tcW w:w="22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Large accelerated filer</w:t>
            </w:r>
          </w:p>
        </w:tc>
        <w:tc>
          <w:tcPr>
            <w:tcW w:w="230" w:type="dxa"/>
            <w:tcBorders/>
            <w:vAlign w:val="center"/>
          </w:tcPr>
          <w:p>
            <w:pPr>
              <w:pStyle w:val="TableContents"/>
              <w:bidi w:val="0"/>
              <w:spacing w:before="0" w:after="283"/>
              <w:jc w:val="left"/>
              <w:rPr>
                <w:caps w:val="false"/>
                <w:smallCaps w:val="false"/>
              </w:rPr>
            </w:pPr>
            <w:r>
              <w:rPr>
                <w:caps w:val="false"/>
                <w:smallCaps w:val="false"/>
              </w:rPr>
              <w:t>☐</w:t>
            </w:r>
          </w:p>
        </w:tc>
        <w:tc>
          <w:tcPr>
            <w:tcW w:w="22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Accelerated filer</w:t>
            </w:r>
          </w:p>
        </w:tc>
        <w:tc>
          <w:tcPr>
            <w:tcW w:w="245" w:type="dxa"/>
            <w:tcBorders/>
            <w:vAlign w:val="center"/>
          </w:tcPr>
          <w:p>
            <w:pPr>
              <w:pStyle w:val="TableContents"/>
              <w:bidi w:val="0"/>
              <w:spacing w:before="0" w:after="283"/>
              <w:jc w:val="left"/>
              <w:rPr>
                <w:caps w:val="false"/>
                <w:smallCaps w:val="false"/>
              </w:rPr>
            </w:pPr>
            <w:r>
              <w:rPr>
                <w:caps w:val="false"/>
                <w:smallCaps w:val="false"/>
              </w:rPr>
              <w:t>☐</w:t>
            </w:r>
          </w:p>
        </w:tc>
      </w:tr>
      <w:tr>
        <w:trPr/>
        <w:tc>
          <w:tcPr>
            <w:tcW w:w="22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bookmarkStart w:id="23" w:name="xdx_905_edei--EntityFilerCategory_c20250"/>
            <w:bookmarkEnd w:id="23"/>
            <w:r>
              <w:rPr>
                <w:rFonts w:ascii="Times New Roman;Times;Serif" w:hAnsi="Times New Roman;Times;Serif"/>
                <w:b w:val="false"/>
                <w:i w:val="false"/>
                <w:caps w:val="false"/>
                <w:smallCaps w:val="false"/>
                <w:sz w:val="20"/>
              </w:rPr>
              <w:t>Non-accelerated filer</w:t>
            </w:r>
          </w:p>
        </w:tc>
        <w:tc>
          <w:tcPr>
            <w:tcW w:w="230" w:type="dxa"/>
            <w:tcBorders/>
            <w:vAlign w:val="center"/>
          </w:tcPr>
          <w:p>
            <w:pPr>
              <w:pStyle w:val="TableContents"/>
              <w:bidi w:val="0"/>
              <w:spacing w:before="0" w:after="283"/>
              <w:jc w:val="left"/>
              <w:rPr>
                <w:caps w:val="false"/>
                <w:smallCaps w:val="false"/>
              </w:rPr>
            </w:pPr>
            <w:r>
              <w:rPr>
                <w:caps w:val="false"/>
                <w:smallCaps w:val="false"/>
              </w:rPr>
              <w:t>☒</w:t>
            </w:r>
          </w:p>
        </w:tc>
        <w:tc>
          <w:tcPr>
            <w:tcW w:w="22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Smaller reporting company</w:t>
            </w:r>
          </w:p>
        </w:tc>
        <w:tc>
          <w:tcPr>
            <w:tcW w:w="245" w:type="dxa"/>
            <w:tcBorders/>
            <w:vAlign w:val="center"/>
          </w:tcPr>
          <w:p>
            <w:pPr>
              <w:pStyle w:val="TableContents"/>
              <w:bidi w:val="0"/>
              <w:spacing w:before="0" w:after="283"/>
              <w:jc w:val="left"/>
              <w:rPr>
                <w:caps w:val="false"/>
                <w:smallCaps w:val="false"/>
              </w:rPr>
            </w:pPr>
            <w:bookmarkStart w:id="24" w:name="xdx_902_edei--EntitySmallBusiness_c20250"/>
            <w:bookmarkEnd w:id="24"/>
            <w:r>
              <w:rPr>
                <w:caps w:val="false"/>
                <w:smallCaps w:val="false"/>
              </w:rPr>
              <w:t>☒</w:t>
            </w:r>
          </w:p>
        </w:tc>
      </w:tr>
      <w:tr>
        <w:trPr/>
        <w:tc>
          <w:tcPr>
            <w:tcW w:w="22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Emerging growth company</w:t>
            </w:r>
          </w:p>
        </w:tc>
        <w:tc>
          <w:tcPr>
            <w:tcW w:w="230" w:type="dxa"/>
            <w:tcBorders/>
            <w:vAlign w:val="center"/>
          </w:tcPr>
          <w:p>
            <w:pPr>
              <w:pStyle w:val="TableContents"/>
              <w:bidi w:val="0"/>
              <w:spacing w:before="0" w:after="283"/>
              <w:jc w:val="left"/>
              <w:rPr>
                <w:caps w:val="false"/>
                <w:smallCaps w:val="false"/>
              </w:rPr>
            </w:pPr>
            <w:bookmarkStart w:id="25" w:name="xdx_90B_edei--EntityEmergingGrowthCompan"/>
            <w:bookmarkEnd w:id="25"/>
            <w:r>
              <w:rPr>
                <w:caps w:val="false"/>
                <w:smallCaps w:val="false"/>
              </w:rPr>
              <w:t>☐</w:t>
            </w:r>
          </w:p>
        </w:tc>
        <w:tc>
          <w:tcPr>
            <w:tcW w:w="2225" w:type="dxa"/>
            <w:tcBorders/>
            <w:vAlign w:val="center"/>
          </w:tcPr>
          <w:p>
            <w:pPr>
              <w:pStyle w:val="TableContents"/>
              <w:bidi w:val="0"/>
              <w:spacing w:before="0" w:after="283"/>
              <w:jc w:val="left"/>
              <w:rPr>
                <w:caps w:val="false"/>
                <w:smallCaps w:val="false"/>
              </w:rPr>
            </w:pPr>
            <w:r>
              <w:rPr>
                <w:caps w:val="false"/>
                <w:smallCaps w:val="false"/>
              </w:rPr>
              <w:t> </w:t>
            </w:r>
          </w:p>
        </w:tc>
        <w:tc>
          <w:tcPr>
            <w:tcW w:w="245"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Indicate by check mark whether the registrant is a shell company (as defined in Rule 12b-2 of the Exchange Act). Yes ☐ No </w:t>
      </w:r>
      <w:bookmarkStart w:id="26" w:name="xdx_902_edei--EntityShellCompany_dbF_c20"/>
      <w:bookmarkEnd w:id="26"/>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November 13, 2025, there were </w:t>
      </w:r>
      <w:bookmarkStart w:id="27" w:name="xdx_90E_edei--EntityCommonStockSharesOut"/>
      <w:bookmarkEnd w:id="27"/>
      <w:r>
        <w:rPr>
          <w:rFonts w:ascii="Times New Roman;Times;Serif" w:hAnsi="Times New Roman;Times;Serif"/>
          <w:b w:val="false"/>
          <w:i w:val="false"/>
          <w:caps w:val="false"/>
          <w:smallCaps w:val="false"/>
          <w:sz w:val="20"/>
        </w:rPr>
        <w:t>39,540,603 shares of the registrant’s common stock, par value $</w:t>
      </w:r>
      <w:bookmarkStart w:id="28" w:name="xdx_904_edei--EntityListingParValuePerSh"/>
      <w:bookmarkEnd w:id="28"/>
      <w:r>
        <w:rPr>
          <w:rFonts w:ascii="Times New Roman;Times;Serif" w:hAnsi="Times New Roman;Times;Serif"/>
          <w:b w:val="false"/>
          <w:i w:val="false"/>
          <w:caps w:val="false"/>
          <w:smallCaps w:val="false"/>
          <w:sz w:val="20"/>
        </w:rPr>
        <w:t>0.001 per share, outstanding.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serif" w:hAnsi="Times New Roman;serif"/>
          <w:b w:val="false"/>
          <w:i/>
          <w:caps w:val="false"/>
          <w:smallCaps w:val="false"/>
          <w:sz w:val="20"/>
        </w:rPr>
      </w:pPr>
      <w:r>
        <w:rPr>
          <w:rFonts w:ascii="Times New Roman;serif" w:hAnsi="Times New Roman;serif"/>
          <w:b w:val="false"/>
          <w:i/>
          <w:caps w:val="false"/>
          <w:smallCaps w:val="false"/>
          <w:sz w:val="20"/>
        </w:rPr>
        <w:t>Exchangeable and Special Voting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November 13, 2025, there were outstanding 109,070,057 exchangeable shares of BST Sub ULC, a wholly owned subsidiary of the registrant. The exchangeable shares are exchangeable for an equal number of the registrant’s common stock, and carry rights substantially equivalent to the Company’s common stock, including rights to dividends, liquidation preferences, and voting (via a Special Voting Preferred Stock held by a trustee).</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tbl>
      <w:tblPr>
        <w:tblW w:w="210" w:type="dxa"/>
        <w:jc w:val="left"/>
        <w:tblInd w:w="0" w:type="dxa"/>
        <w:tblLayout w:type="fixed"/>
        <w:tblCellMar>
          <w:top w:w="0" w:type="dxa"/>
          <w:left w:w="0" w:type="dxa"/>
          <w:bottom w:w="0" w:type="dxa"/>
          <w:right w:w="0" w:type="dxa"/>
        </w:tblCellMar>
      </w:tblPr>
      <w:tblGrid>
        <w:gridCol w:w="75"/>
        <w:gridCol w:w="60"/>
        <w:gridCol w:w="7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719"/>
        <w:gridCol w:w="8965"/>
        <w:gridCol w:w="446"/>
      </w:tblGrid>
      <w:tr>
        <w:trPr/>
        <w:tc>
          <w:tcPr>
            <w:tcW w:w="9759" w:type="dxa"/>
            <w:gridSpan w:val="3"/>
            <w:tcBorders/>
            <w:shd w:fill="CCEEFF" w:val="clear"/>
            <w:vAlign w:val="center"/>
          </w:tcPr>
          <w:p>
            <w:pPr>
              <w:pStyle w:val="TableContents"/>
              <w:bidi w:val="0"/>
              <w:spacing w:before="0" w:after="283"/>
              <w:jc w:val="both"/>
              <w:rPr/>
            </w:pPr>
            <w:hyperlink w:anchor="vv_001">
              <w:r>
                <w:rPr>
                  <w:rStyle w:val="InternetLink"/>
                  <w:rFonts w:ascii="Times New Roman;Times;Serif" w:hAnsi="Times New Roman;Times;Serif"/>
                  <w:b/>
                  <w:i w:val="false"/>
                  <w:caps w:val="false"/>
                  <w:smallCaps w:val="false"/>
                  <w:sz w:val="20"/>
                </w:rPr>
                <w:t>PART I. FINANCIAL INFORMATION</w:t>
              </w:r>
            </w:hyperlink>
          </w:p>
        </w:tc>
        <w:tc>
          <w:tcPr>
            <w:tcW w:w="446"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r>
      <w:tr>
        <w:trPr/>
        <w:tc>
          <w:tcPr>
            <w:tcW w:w="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719"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896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446"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75"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719"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1.</w:t>
            </w:r>
          </w:p>
        </w:tc>
        <w:tc>
          <w:tcPr>
            <w:tcW w:w="8965" w:type="dxa"/>
            <w:tcBorders/>
            <w:shd w:fill="CCEEFF" w:val="clear"/>
            <w:vAlign w:val="center"/>
          </w:tcPr>
          <w:p>
            <w:pPr>
              <w:pStyle w:val="TableContents"/>
              <w:bidi w:val="0"/>
              <w:spacing w:before="0" w:after="283"/>
              <w:jc w:val="both"/>
              <w:rPr/>
            </w:pPr>
            <w:hyperlink w:anchor="vv_002">
              <w:r>
                <w:rPr>
                  <w:rStyle w:val="InternetLink"/>
                  <w:rFonts w:ascii="Times New Roman;Times;Serif" w:hAnsi="Times New Roman;Times;Serif"/>
                  <w:b w:val="false"/>
                  <w:i w:val="false"/>
                  <w:caps w:val="false"/>
                  <w:smallCaps w:val="false"/>
                  <w:sz w:val="20"/>
                </w:rPr>
                <w:t>Financial Statements</w:t>
              </w:r>
            </w:hyperlink>
          </w:p>
        </w:tc>
        <w:tc>
          <w:tcPr>
            <w:tcW w:w="446"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r>
      <w:tr>
        <w:trPr/>
        <w:tc>
          <w:tcPr>
            <w:tcW w:w="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719"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896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446"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75"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719"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8965" w:type="dxa"/>
            <w:tcBorders/>
            <w:shd w:fill="CCEEFF" w:val="clear"/>
            <w:vAlign w:val="center"/>
          </w:tcPr>
          <w:p>
            <w:pPr>
              <w:pStyle w:val="TableContents"/>
              <w:bidi w:val="0"/>
              <w:spacing w:before="0" w:after="283"/>
              <w:jc w:val="both"/>
              <w:rPr/>
            </w:pPr>
            <w:hyperlink w:anchor="vv_003">
              <w:r>
                <w:rPr>
                  <w:rStyle w:val="InternetLink"/>
                  <w:rFonts w:ascii="Times New Roman;Times;Serif" w:hAnsi="Times New Roman;Times;Serif"/>
                  <w:b w:val="false"/>
                  <w:i w:val="false"/>
                  <w:caps w:val="false"/>
                  <w:smallCaps w:val="false"/>
                  <w:sz w:val="20"/>
                </w:rPr>
                <w:t>Condensed consolidated balance sheets as of September 30, 2025 (Unaudited) and December 31, 2024</w:t>
              </w:r>
            </w:hyperlink>
          </w:p>
        </w:tc>
        <w:tc>
          <w:tcPr>
            <w:tcW w:w="446"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r>
      <w:tr>
        <w:trPr/>
        <w:tc>
          <w:tcPr>
            <w:tcW w:w="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719"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896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446"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75"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719"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8965" w:type="dxa"/>
            <w:tcBorders/>
            <w:shd w:fill="CCEEFF" w:val="clear"/>
            <w:vAlign w:val="center"/>
          </w:tcPr>
          <w:p>
            <w:pPr>
              <w:pStyle w:val="TableContents"/>
              <w:bidi w:val="0"/>
              <w:spacing w:before="0" w:after="283"/>
              <w:jc w:val="both"/>
              <w:rPr/>
            </w:pPr>
            <w:hyperlink w:anchor="vv_004">
              <w:r>
                <w:rPr>
                  <w:rStyle w:val="InternetLink"/>
                  <w:rFonts w:ascii="Times New Roman;Times;Serif" w:hAnsi="Times New Roman;Times;Serif"/>
                  <w:b w:val="false"/>
                  <w:i w:val="false"/>
                  <w:caps w:val="false"/>
                  <w:smallCaps w:val="false"/>
                  <w:sz w:val="20"/>
                </w:rPr>
                <w:t>Condensed consolidated statements of operations and Comprehensive Loss for the three and nine months ended September 30, 2025 and 2024 (Unaudited)</w:t>
              </w:r>
            </w:hyperlink>
          </w:p>
        </w:tc>
        <w:tc>
          <w:tcPr>
            <w:tcW w:w="446"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r>
      <w:tr>
        <w:trPr/>
        <w:tc>
          <w:tcPr>
            <w:tcW w:w="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719"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896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446"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75"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719"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8965" w:type="dxa"/>
            <w:tcBorders/>
            <w:shd w:fill="CCEEFF" w:val="clear"/>
            <w:vAlign w:val="center"/>
          </w:tcPr>
          <w:p>
            <w:pPr>
              <w:pStyle w:val="TableContents"/>
              <w:bidi w:val="0"/>
              <w:spacing w:before="0" w:after="283"/>
              <w:jc w:val="both"/>
              <w:rPr/>
            </w:pPr>
            <w:hyperlink w:anchor="vv_005">
              <w:r>
                <w:rPr>
                  <w:rStyle w:val="InternetLink"/>
                  <w:rFonts w:ascii="Times New Roman;Times;Serif" w:hAnsi="Times New Roman;Times;Serif"/>
                  <w:b w:val="false"/>
                  <w:i w:val="false"/>
                  <w:caps w:val="false"/>
                  <w:smallCaps w:val="false"/>
                  <w:sz w:val="20"/>
                </w:rPr>
                <w:t>Condensed consolidated statement of changes in stockholders’ (deficit) equity for the three and nine months ended September 30, 2025 and 2024 (Unaudited</w:t>
              </w:r>
            </w:hyperlink>
            <w:r>
              <w:rPr>
                <w:rFonts w:ascii="Times New Roman;Times;Serif" w:hAnsi="Times New Roman;Times;Serif"/>
                <w:b w:val="false"/>
                <w:i w:val="false"/>
                <w:caps w:val="false"/>
                <w:smallCaps w:val="false"/>
                <w:sz w:val="20"/>
              </w:rPr>
              <w:t>)</w:t>
            </w:r>
          </w:p>
        </w:tc>
        <w:tc>
          <w:tcPr>
            <w:tcW w:w="446"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r>
      <w:tr>
        <w:trPr/>
        <w:tc>
          <w:tcPr>
            <w:tcW w:w="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719"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896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446"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75"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719"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8965" w:type="dxa"/>
            <w:tcBorders/>
            <w:shd w:fill="CCEEFF" w:val="clear"/>
            <w:vAlign w:val="center"/>
          </w:tcPr>
          <w:p>
            <w:pPr>
              <w:pStyle w:val="TableContents"/>
              <w:bidi w:val="0"/>
              <w:spacing w:before="0" w:after="283"/>
              <w:jc w:val="both"/>
              <w:rPr/>
            </w:pPr>
            <w:hyperlink w:anchor="vv_006">
              <w:r>
                <w:rPr>
                  <w:rStyle w:val="InternetLink"/>
                  <w:rFonts w:ascii="Times New Roman;Times;Serif" w:hAnsi="Times New Roman;Times;Serif"/>
                  <w:b w:val="false"/>
                  <w:i w:val="false"/>
                  <w:caps w:val="false"/>
                  <w:smallCaps w:val="false"/>
                  <w:sz w:val="20"/>
                </w:rPr>
                <w:t>Condensed consolidated statements of cash flows for the nine months ended September 30, 2025 and 2024 (Unaudited)</w:t>
              </w:r>
            </w:hyperlink>
          </w:p>
        </w:tc>
        <w:tc>
          <w:tcPr>
            <w:tcW w:w="446"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r>
      <w:tr>
        <w:trPr/>
        <w:tc>
          <w:tcPr>
            <w:tcW w:w="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719"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896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446"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75"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719"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8965" w:type="dxa"/>
            <w:tcBorders/>
            <w:shd w:fill="CCEEFF" w:val="clear"/>
            <w:vAlign w:val="center"/>
          </w:tcPr>
          <w:p>
            <w:pPr>
              <w:pStyle w:val="TableContents"/>
              <w:bidi w:val="0"/>
              <w:spacing w:before="0" w:after="283"/>
              <w:jc w:val="both"/>
              <w:rPr/>
            </w:pPr>
            <w:hyperlink w:anchor="vv_007">
              <w:r>
                <w:rPr>
                  <w:rStyle w:val="InternetLink"/>
                  <w:rFonts w:ascii="Times New Roman;Times;Serif" w:hAnsi="Times New Roman;Times;Serif"/>
                  <w:b w:val="false"/>
                  <w:i w:val="false"/>
                  <w:caps w:val="false"/>
                  <w:smallCaps w:val="false"/>
                  <w:sz w:val="20"/>
                </w:rPr>
                <w:t>Notes to condensed consolidated financial statements (Unaudited)</w:t>
              </w:r>
            </w:hyperlink>
          </w:p>
        </w:tc>
        <w:tc>
          <w:tcPr>
            <w:tcW w:w="446"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8-31</w:t>
            </w:r>
          </w:p>
        </w:tc>
      </w:tr>
      <w:tr>
        <w:trPr/>
        <w:tc>
          <w:tcPr>
            <w:tcW w:w="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719"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896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446"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75"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719"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2.</w:t>
            </w:r>
          </w:p>
        </w:tc>
        <w:tc>
          <w:tcPr>
            <w:tcW w:w="8965" w:type="dxa"/>
            <w:tcBorders/>
            <w:shd w:fill="CCEEFF" w:val="clear"/>
            <w:vAlign w:val="center"/>
          </w:tcPr>
          <w:p>
            <w:pPr>
              <w:pStyle w:val="TableContents"/>
              <w:bidi w:val="0"/>
              <w:spacing w:before="0" w:after="283"/>
              <w:jc w:val="both"/>
              <w:rPr/>
            </w:pPr>
            <w:hyperlink w:anchor="vv_008">
              <w:r>
                <w:rPr>
                  <w:rStyle w:val="InternetLink"/>
                  <w:rFonts w:ascii="Times New Roman;Times;Serif" w:hAnsi="Times New Roman;Times;Serif"/>
                  <w:b w:val="false"/>
                  <w:i w:val="false"/>
                  <w:caps w:val="false"/>
                  <w:smallCaps w:val="false"/>
                  <w:sz w:val="20"/>
                </w:rPr>
                <w:t>Management’s Discussion and Analysis of Financial Condition and Results of Operations</w:t>
              </w:r>
            </w:hyperlink>
          </w:p>
        </w:tc>
        <w:tc>
          <w:tcPr>
            <w:tcW w:w="446"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32-37</w:t>
            </w:r>
          </w:p>
        </w:tc>
      </w:tr>
      <w:tr>
        <w:trPr/>
        <w:tc>
          <w:tcPr>
            <w:tcW w:w="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719"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3.</w:t>
            </w:r>
          </w:p>
        </w:tc>
        <w:tc>
          <w:tcPr>
            <w:tcW w:w="8965" w:type="dxa"/>
            <w:tcBorders/>
            <w:shd w:fill="FFFFFF" w:val="clear"/>
            <w:vAlign w:val="center"/>
          </w:tcPr>
          <w:p>
            <w:pPr>
              <w:pStyle w:val="TableContents"/>
              <w:bidi w:val="0"/>
              <w:spacing w:before="0" w:after="283"/>
              <w:jc w:val="both"/>
              <w:rPr/>
            </w:pPr>
            <w:hyperlink w:anchor="vv_009">
              <w:r>
                <w:rPr>
                  <w:rStyle w:val="InternetLink"/>
                  <w:rFonts w:ascii="Times New Roman;Times;Serif" w:hAnsi="Times New Roman;Times;Serif"/>
                  <w:b w:val="false"/>
                  <w:i w:val="false"/>
                  <w:caps w:val="false"/>
                  <w:smallCaps w:val="false"/>
                  <w:sz w:val="20"/>
                </w:rPr>
                <w:t>Quantitative and Qualitative Disclosures about Market Risk</w:t>
              </w:r>
            </w:hyperlink>
          </w:p>
        </w:tc>
        <w:tc>
          <w:tcPr>
            <w:tcW w:w="446"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w:t>
            </w:r>
          </w:p>
        </w:tc>
      </w:tr>
      <w:tr>
        <w:trPr/>
        <w:tc>
          <w:tcPr>
            <w:tcW w:w="75"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719"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4.</w:t>
            </w:r>
          </w:p>
        </w:tc>
        <w:tc>
          <w:tcPr>
            <w:tcW w:w="8965" w:type="dxa"/>
            <w:tcBorders/>
            <w:shd w:fill="CCEEFF" w:val="clear"/>
            <w:vAlign w:val="center"/>
          </w:tcPr>
          <w:p>
            <w:pPr>
              <w:pStyle w:val="TableContents"/>
              <w:bidi w:val="0"/>
              <w:spacing w:before="0" w:after="283"/>
              <w:jc w:val="both"/>
              <w:rPr/>
            </w:pPr>
            <w:hyperlink w:anchor="vv_010">
              <w:r>
                <w:rPr>
                  <w:rStyle w:val="InternetLink"/>
                  <w:rFonts w:ascii="Times New Roman;Times;Serif" w:hAnsi="Times New Roman;Times;Serif"/>
                  <w:b w:val="false"/>
                  <w:i w:val="false"/>
                  <w:caps w:val="false"/>
                  <w:smallCaps w:val="false"/>
                  <w:sz w:val="20"/>
                </w:rPr>
                <w:t>Controls and Procedures</w:t>
              </w:r>
            </w:hyperlink>
          </w:p>
        </w:tc>
        <w:tc>
          <w:tcPr>
            <w:tcW w:w="446"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w:t>
            </w:r>
          </w:p>
        </w:tc>
      </w:tr>
      <w:tr>
        <w:trPr/>
        <w:tc>
          <w:tcPr>
            <w:tcW w:w="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719"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896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446"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9759" w:type="dxa"/>
            <w:gridSpan w:val="3"/>
            <w:tcBorders/>
            <w:shd w:fill="CCEEFF" w:val="clear"/>
            <w:vAlign w:val="center"/>
          </w:tcPr>
          <w:p>
            <w:pPr>
              <w:pStyle w:val="TableContents"/>
              <w:bidi w:val="0"/>
              <w:spacing w:before="0" w:after="283"/>
              <w:jc w:val="both"/>
              <w:rPr/>
            </w:pPr>
            <w:hyperlink w:anchor="vv_011">
              <w:r>
                <w:rPr>
                  <w:rStyle w:val="InternetLink"/>
                  <w:rFonts w:ascii="Times New Roman;Times;Serif" w:hAnsi="Times New Roman;Times;Serif"/>
                  <w:b/>
                  <w:i w:val="false"/>
                  <w:caps w:val="false"/>
                  <w:smallCaps w:val="false"/>
                  <w:sz w:val="20"/>
                </w:rPr>
                <w:t>PART II. OTHER INFORMATION</w:t>
              </w:r>
            </w:hyperlink>
          </w:p>
        </w:tc>
        <w:tc>
          <w:tcPr>
            <w:tcW w:w="446"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r>
      <w:tr>
        <w:trPr/>
        <w:tc>
          <w:tcPr>
            <w:tcW w:w="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719"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896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446"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75"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719"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1.</w:t>
            </w:r>
          </w:p>
        </w:tc>
        <w:tc>
          <w:tcPr>
            <w:tcW w:w="8965" w:type="dxa"/>
            <w:tcBorders/>
            <w:shd w:fill="CCEEFF" w:val="clear"/>
            <w:vAlign w:val="center"/>
          </w:tcPr>
          <w:p>
            <w:pPr>
              <w:pStyle w:val="TableContents"/>
              <w:bidi w:val="0"/>
              <w:spacing w:before="0" w:after="283"/>
              <w:jc w:val="both"/>
              <w:rPr/>
            </w:pPr>
            <w:hyperlink w:anchor="vv_012">
              <w:r>
                <w:rPr>
                  <w:rStyle w:val="InternetLink"/>
                  <w:rFonts w:ascii="Times New Roman;Times;Serif" w:hAnsi="Times New Roman;Times;Serif"/>
                  <w:b w:val="false"/>
                  <w:i w:val="false"/>
                  <w:caps w:val="false"/>
                  <w:smallCaps w:val="false"/>
                  <w:sz w:val="20"/>
                </w:rPr>
                <w:t>Legal Proceedings</w:t>
              </w:r>
            </w:hyperlink>
          </w:p>
        </w:tc>
        <w:tc>
          <w:tcPr>
            <w:tcW w:w="446"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w:t>
            </w:r>
          </w:p>
        </w:tc>
      </w:tr>
      <w:tr>
        <w:trPr/>
        <w:tc>
          <w:tcPr>
            <w:tcW w:w="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719"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1A.</w:t>
            </w:r>
          </w:p>
        </w:tc>
        <w:tc>
          <w:tcPr>
            <w:tcW w:w="8965" w:type="dxa"/>
            <w:tcBorders/>
            <w:shd w:fill="FFFFFF" w:val="clear"/>
            <w:vAlign w:val="center"/>
          </w:tcPr>
          <w:p>
            <w:pPr>
              <w:pStyle w:val="TableContents"/>
              <w:bidi w:val="0"/>
              <w:spacing w:before="0" w:after="283"/>
              <w:jc w:val="both"/>
              <w:rPr/>
            </w:pPr>
            <w:hyperlink w:anchor="vv_013">
              <w:r>
                <w:rPr>
                  <w:rStyle w:val="InternetLink"/>
                  <w:rFonts w:ascii="Times New Roman;Times;Serif" w:hAnsi="Times New Roman;Times;Serif"/>
                  <w:b w:val="false"/>
                  <w:i w:val="false"/>
                  <w:caps w:val="false"/>
                  <w:smallCaps w:val="false"/>
                  <w:sz w:val="20"/>
                </w:rPr>
                <w:t>Risk Factors</w:t>
              </w:r>
            </w:hyperlink>
          </w:p>
        </w:tc>
        <w:tc>
          <w:tcPr>
            <w:tcW w:w="446"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w:t>
            </w:r>
          </w:p>
        </w:tc>
      </w:tr>
      <w:tr>
        <w:trPr/>
        <w:tc>
          <w:tcPr>
            <w:tcW w:w="75"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719"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2.</w:t>
            </w:r>
          </w:p>
        </w:tc>
        <w:tc>
          <w:tcPr>
            <w:tcW w:w="8965" w:type="dxa"/>
            <w:tcBorders/>
            <w:shd w:fill="CCEEFF" w:val="clear"/>
            <w:vAlign w:val="center"/>
          </w:tcPr>
          <w:p>
            <w:pPr>
              <w:pStyle w:val="TableContents"/>
              <w:bidi w:val="0"/>
              <w:spacing w:before="0" w:after="283"/>
              <w:jc w:val="both"/>
              <w:rPr/>
            </w:pPr>
            <w:hyperlink w:anchor="vv_014">
              <w:r>
                <w:rPr>
                  <w:rStyle w:val="InternetLink"/>
                  <w:rFonts w:ascii="Times New Roman;Times;Serif" w:hAnsi="Times New Roman;Times;Serif"/>
                  <w:b w:val="false"/>
                  <w:i w:val="false"/>
                  <w:caps w:val="false"/>
                  <w:smallCaps w:val="false"/>
                  <w:sz w:val="20"/>
                </w:rPr>
                <w:t>Unregistered Sales of Equity Securities, Use of Proceeds, and Issuer Purchases of Equity Securities</w:t>
              </w:r>
            </w:hyperlink>
          </w:p>
        </w:tc>
        <w:tc>
          <w:tcPr>
            <w:tcW w:w="446"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w:t>
            </w:r>
          </w:p>
        </w:tc>
      </w:tr>
      <w:tr>
        <w:trPr/>
        <w:tc>
          <w:tcPr>
            <w:tcW w:w="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719"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3.</w:t>
            </w:r>
          </w:p>
        </w:tc>
        <w:tc>
          <w:tcPr>
            <w:tcW w:w="8965" w:type="dxa"/>
            <w:tcBorders/>
            <w:shd w:fill="FFFFFF" w:val="clear"/>
            <w:vAlign w:val="center"/>
          </w:tcPr>
          <w:p>
            <w:pPr>
              <w:pStyle w:val="TableContents"/>
              <w:bidi w:val="0"/>
              <w:spacing w:before="0" w:after="283"/>
              <w:jc w:val="both"/>
              <w:rPr/>
            </w:pPr>
            <w:hyperlink w:anchor="vv_015">
              <w:r>
                <w:rPr>
                  <w:rStyle w:val="InternetLink"/>
                  <w:rFonts w:ascii="Times New Roman;Times;Serif" w:hAnsi="Times New Roman;Times;Serif"/>
                  <w:b w:val="false"/>
                  <w:i w:val="false"/>
                  <w:caps w:val="false"/>
                  <w:smallCaps w:val="false"/>
                  <w:sz w:val="20"/>
                </w:rPr>
                <w:t>Defaults Upon Senior Securities</w:t>
              </w:r>
            </w:hyperlink>
          </w:p>
        </w:tc>
        <w:tc>
          <w:tcPr>
            <w:tcW w:w="446"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w:t>
            </w:r>
          </w:p>
        </w:tc>
      </w:tr>
      <w:tr>
        <w:trPr/>
        <w:tc>
          <w:tcPr>
            <w:tcW w:w="75"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719"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4.</w:t>
            </w:r>
          </w:p>
        </w:tc>
        <w:tc>
          <w:tcPr>
            <w:tcW w:w="8965" w:type="dxa"/>
            <w:tcBorders/>
            <w:shd w:fill="CCEEFF" w:val="clear"/>
            <w:vAlign w:val="center"/>
          </w:tcPr>
          <w:p>
            <w:pPr>
              <w:pStyle w:val="TableContents"/>
              <w:bidi w:val="0"/>
              <w:spacing w:before="0" w:after="283"/>
              <w:jc w:val="both"/>
              <w:rPr/>
            </w:pPr>
            <w:hyperlink w:anchor="vv_016">
              <w:r>
                <w:rPr>
                  <w:rStyle w:val="InternetLink"/>
                  <w:rFonts w:ascii="Times New Roman;Times;Serif" w:hAnsi="Times New Roman;Times;Serif"/>
                  <w:b w:val="false"/>
                  <w:i w:val="false"/>
                  <w:caps w:val="false"/>
                  <w:smallCaps w:val="false"/>
                  <w:sz w:val="20"/>
                </w:rPr>
                <w:t>Mine Safety Disclosures</w:t>
              </w:r>
            </w:hyperlink>
          </w:p>
        </w:tc>
        <w:tc>
          <w:tcPr>
            <w:tcW w:w="446"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w:t>
            </w:r>
          </w:p>
        </w:tc>
      </w:tr>
      <w:tr>
        <w:trPr/>
        <w:tc>
          <w:tcPr>
            <w:tcW w:w="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719"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5.</w:t>
            </w:r>
          </w:p>
        </w:tc>
        <w:tc>
          <w:tcPr>
            <w:tcW w:w="8965" w:type="dxa"/>
            <w:tcBorders/>
            <w:shd w:fill="FFFFFF" w:val="clear"/>
            <w:vAlign w:val="center"/>
          </w:tcPr>
          <w:p>
            <w:pPr>
              <w:pStyle w:val="TableContents"/>
              <w:bidi w:val="0"/>
              <w:spacing w:before="0" w:after="283"/>
              <w:jc w:val="both"/>
              <w:rPr/>
            </w:pPr>
            <w:hyperlink w:anchor="vv_017">
              <w:r>
                <w:rPr>
                  <w:rStyle w:val="InternetLink"/>
                  <w:rFonts w:ascii="Times New Roman;Times;Serif" w:hAnsi="Times New Roman;Times;Serif"/>
                  <w:b w:val="false"/>
                  <w:i w:val="false"/>
                  <w:caps w:val="false"/>
                  <w:smallCaps w:val="false"/>
                  <w:sz w:val="20"/>
                </w:rPr>
                <w:t>Other Information</w:t>
              </w:r>
            </w:hyperlink>
          </w:p>
        </w:tc>
        <w:tc>
          <w:tcPr>
            <w:tcW w:w="446"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w:t>
            </w:r>
          </w:p>
        </w:tc>
      </w:tr>
      <w:tr>
        <w:trPr/>
        <w:tc>
          <w:tcPr>
            <w:tcW w:w="75"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719"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6.</w:t>
            </w:r>
          </w:p>
        </w:tc>
        <w:tc>
          <w:tcPr>
            <w:tcW w:w="8965" w:type="dxa"/>
            <w:tcBorders/>
            <w:shd w:fill="CCEEFF" w:val="clear"/>
            <w:vAlign w:val="center"/>
          </w:tcPr>
          <w:p>
            <w:pPr>
              <w:pStyle w:val="TableContents"/>
              <w:bidi w:val="0"/>
              <w:spacing w:before="0" w:after="283"/>
              <w:jc w:val="both"/>
              <w:rPr/>
            </w:pPr>
            <w:hyperlink w:anchor="vv_018">
              <w:r>
                <w:rPr>
                  <w:rStyle w:val="InternetLink"/>
                  <w:rFonts w:ascii="Times New Roman;Times;Serif" w:hAnsi="Times New Roman;Times;Serif"/>
                  <w:b w:val="false"/>
                  <w:i w:val="false"/>
                  <w:caps w:val="false"/>
                  <w:smallCaps w:val="false"/>
                  <w:sz w:val="20"/>
                </w:rPr>
                <w:t>Exhibits</w:t>
              </w:r>
            </w:hyperlink>
          </w:p>
        </w:tc>
        <w:tc>
          <w:tcPr>
            <w:tcW w:w="446"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w:t>
            </w:r>
          </w:p>
        </w:tc>
      </w:tr>
      <w:tr>
        <w:trPr/>
        <w:tc>
          <w:tcPr>
            <w:tcW w:w="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719"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896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446"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75"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9684" w:type="dxa"/>
            <w:gridSpan w:val="2"/>
            <w:tcBorders/>
            <w:shd w:fill="CCEEFF" w:val="clear"/>
            <w:vAlign w:val="center"/>
          </w:tcPr>
          <w:p>
            <w:pPr>
              <w:pStyle w:val="TableContents"/>
              <w:bidi w:val="0"/>
              <w:spacing w:before="0" w:after="283"/>
              <w:jc w:val="both"/>
              <w:rPr/>
            </w:pPr>
            <w:hyperlink w:anchor="vv_019">
              <w:r>
                <w:rPr>
                  <w:rStyle w:val="InternetLink"/>
                  <w:rFonts w:ascii="Times New Roman;Times;Serif" w:hAnsi="Times New Roman;Times;Serif"/>
                  <w:b w:val="false"/>
                  <w:i w:val="false"/>
                  <w:caps w:val="false"/>
                  <w:smallCaps w:val="false"/>
                  <w:sz w:val="20"/>
                </w:rPr>
                <w:t>SIGNATURES</w:t>
              </w:r>
            </w:hyperlink>
          </w:p>
        </w:tc>
        <w:tc>
          <w:tcPr>
            <w:tcW w:w="446"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w:t>
            </w:r>
          </w:p>
        </w:tc>
      </w:tr>
    </w:tbl>
    <w:p>
      <w:pPr>
        <w:pStyle w:val="TextBody"/>
        <w:bidi w:val="0"/>
        <w:spacing w:before="0" w:after="0"/>
        <w:ind w:left="0" w:right="0" w:hanging="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2</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29" w:name="vv_001"/>
      <w:bookmarkEnd w:id="29"/>
      <w:r>
        <w:rPr>
          <w:rFonts w:ascii="Times New Roman;Times;Serif" w:hAnsi="Times New Roman;Times;Serif"/>
          <w:b/>
          <w:i w:val="false"/>
          <w:caps w:val="false"/>
          <w:smallCaps w:val="false"/>
          <w:sz w:val="20"/>
        </w:rPr>
        <w:t>PART I</w:t>
      </w:r>
      <w:r>
        <w:rPr>
          <w:rFonts w:ascii="Times New Roman;Times;Serif" w:hAnsi="Times New Roman;Times;Serif"/>
          <w:b w:val="false"/>
          <w:i w:val="false"/>
          <w:caps w:val="false"/>
          <w:smallCaps w:val="false"/>
          <w:sz w:val="20"/>
        </w:rPr>
        <w:t xml:space="preserve"> – </w:t>
      </w:r>
      <w:r>
        <w:rPr>
          <w:rFonts w:ascii="Times New Roman;Times;Serif" w:hAnsi="Times New Roman;Times;Serif"/>
          <w:b/>
          <w:i w:val="false"/>
          <w:caps w:val="false"/>
          <w:smallCaps w:val="false"/>
          <w:sz w:val="20"/>
        </w:rPr>
        <w:t>FINANCIAL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30" w:name="vv_002"/>
      <w:bookmarkEnd w:id="30"/>
      <w:r>
        <w:rPr>
          <w:rFonts w:ascii="Times New Roman;Times;Serif" w:hAnsi="Times New Roman;Times;Serif"/>
          <w:b/>
          <w:i w:val="false"/>
          <w:caps w:val="false"/>
          <w:smallCaps w:val="false"/>
          <w:sz w:val="20"/>
        </w:rPr>
        <w:t>ITEM 1.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1" w:name="vv_003"/>
      <w:bookmarkEnd w:id="31"/>
      <w:r>
        <w:rPr>
          <w:rFonts w:ascii="Times New Roman;Times;Serif" w:hAnsi="Times New Roman;Times;Serif"/>
          <w:b/>
          <w:i w:val="false"/>
          <w:caps w:val="false"/>
          <w:smallCaps w:val="false"/>
          <w:sz w:val="20"/>
        </w:rPr>
        <w:t>STREAMEX CORP.</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CONDENSED CONSOLIDATED BALANCE SHEETS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Par Value and Share Amounts)</w:t>
      </w:r>
    </w:p>
    <w:p>
      <w:pPr>
        <w:pStyle w:val="TextBody"/>
        <w:bidi w:val="0"/>
        <w:spacing w:before="0" w:after="0"/>
        <w:ind w:left="0" w:right="0" w:hanging="0"/>
        <w:jc w:val="center"/>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32" w:name="xdx_302_111_pn3n3_zxipTAhKqtcb"/>
      <w:bookmarkStart w:id="33" w:name="xdx_302_111_pn3n3_zxipTAhKqtcb"/>
      <w:bookmarkEnd w:id="33"/>
    </w:p>
    <w:tbl>
      <w:tblPr>
        <w:tblW w:w="10205" w:type="dxa"/>
        <w:jc w:val="left"/>
        <w:tblInd w:w="0" w:type="dxa"/>
        <w:tblLayout w:type="fixed"/>
        <w:tblCellMar>
          <w:top w:w="0" w:type="dxa"/>
          <w:left w:w="0" w:type="dxa"/>
          <w:bottom w:w="0" w:type="dxa"/>
          <w:right w:w="0" w:type="dxa"/>
        </w:tblCellMar>
      </w:tblPr>
      <w:tblGrid>
        <w:gridCol w:w="7365"/>
        <w:gridCol w:w="60"/>
        <w:gridCol w:w="162"/>
        <w:gridCol w:w="1023"/>
        <w:gridCol w:w="95"/>
        <w:gridCol w:w="60"/>
        <w:gridCol w:w="154"/>
        <w:gridCol w:w="971"/>
        <w:gridCol w:w="315"/>
      </w:tblGrid>
      <w:tr>
        <w:trPr/>
        <w:tc>
          <w:tcPr>
            <w:tcW w:w="73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34" w:name="xdx_49A_20250930_zoePKHI9cKc7"/>
            <w:bookmarkEnd w:id="34"/>
          </w:p>
        </w:tc>
        <w:tc>
          <w:tcPr>
            <w:tcW w:w="1185" w:type="dxa"/>
            <w:gridSpan w:val="2"/>
            <w:tcBorders/>
            <w:vAlign w:val="center"/>
          </w:tcPr>
          <w:p>
            <w:pPr>
              <w:pStyle w:val="TableContents"/>
              <w:bidi w:val="0"/>
              <w:spacing w:before="0" w:after="283"/>
              <w:jc w:val="center"/>
              <w:rPr>
                <w:b/>
              </w:rPr>
            </w:pPr>
            <w:r>
              <w:rPr>
                <w:b/>
              </w:rPr>
              <w:t>September 30,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35" w:name="xdx_49F_20241231_ztfiBepHraj5"/>
            <w:bookmarkEnd w:id="35"/>
          </w:p>
        </w:tc>
        <w:tc>
          <w:tcPr>
            <w:tcW w:w="1125" w:type="dxa"/>
            <w:gridSpan w:val="2"/>
            <w:tcBorders/>
            <w:vAlign w:val="center"/>
          </w:tcPr>
          <w:p>
            <w:pPr>
              <w:pStyle w:val="TableContents"/>
              <w:bidi w:val="0"/>
              <w:spacing w:before="0" w:after="283"/>
              <w:jc w:val="center"/>
              <w:rPr>
                <w:b/>
              </w:rPr>
            </w:pPr>
            <w:r>
              <w:rPr>
                <w:b/>
              </w:rPr>
              <w:t>December 31,</w:t>
            </w:r>
          </w:p>
        </w:tc>
        <w:tc>
          <w:tcPr>
            <w:tcW w:w="315" w:type="dxa"/>
            <w:tcBorders/>
            <w:vAlign w:val="center"/>
          </w:tcPr>
          <w:p>
            <w:pPr>
              <w:pStyle w:val="TableContents"/>
              <w:bidi w:val="0"/>
              <w:spacing w:before="0" w:after="283"/>
              <w:jc w:val="left"/>
              <w:rPr/>
            </w:pPr>
            <w:r>
              <w:rPr/>
              <w:t> </w:t>
            </w:r>
          </w:p>
        </w:tc>
      </w:tr>
      <w:tr>
        <w:trPr/>
        <w:tc>
          <w:tcPr>
            <w:tcW w:w="73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8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315" w:type="dxa"/>
            <w:tcBorders/>
            <w:vAlign w:val="center"/>
          </w:tcPr>
          <w:p>
            <w:pPr>
              <w:pStyle w:val="TableContents"/>
              <w:bidi w:val="0"/>
              <w:spacing w:before="0" w:after="283"/>
              <w:jc w:val="left"/>
              <w:rPr/>
            </w:pPr>
            <w:r>
              <w:rPr/>
              <w:t> </w:t>
            </w:r>
          </w:p>
        </w:tc>
      </w:tr>
      <w:tr>
        <w:trPr/>
        <w:tc>
          <w:tcPr>
            <w:tcW w:w="73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85" w:type="dxa"/>
            <w:gridSpan w:val="2"/>
            <w:tcBorders/>
            <w:vAlign w:val="center"/>
          </w:tcPr>
          <w:p>
            <w:pPr>
              <w:pStyle w:val="TableContents"/>
              <w:bidi w:val="0"/>
              <w:spacing w:before="0" w:after="283"/>
              <w:jc w:val="center"/>
              <w:rPr/>
            </w:pPr>
            <w:r>
              <w:rPr/>
              <w:t>(Unaudited)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5" w:type="dxa"/>
            <w:gridSpan w:val="2"/>
            <w:tcBorders/>
            <w:vAlign w:val="center"/>
          </w:tcPr>
          <w:p>
            <w:pPr>
              <w:pStyle w:val="TableContents"/>
              <w:bidi w:val="0"/>
              <w:spacing w:before="0" w:after="283"/>
              <w:jc w:val="left"/>
              <w:rPr/>
            </w:pPr>
            <w:r>
              <w:rPr/>
              <w:t> </w:t>
            </w:r>
          </w:p>
        </w:tc>
        <w:tc>
          <w:tcPr>
            <w:tcW w:w="315" w:type="dxa"/>
            <w:tcBorders/>
            <w:vAlign w:val="center"/>
          </w:tcPr>
          <w:p>
            <w:pPr>
              <w:pStyle w:val="TableContents"/>
              <w:bidi w:val="0"/>
              <w:spacing w:before="0" w:after="283"/>
              <w:jc w:val="left"/>
              <w:rPr/>
            </w:pPr>
            <w:r>
              <w:rPr/>
              <w:t> </w:t>
            </w:r>
            <w:bookmarkStart w:id="36" w:name="xdx_403_eus-gaap--AssetsAbstract_iB_zWQt"/>
            <w:bookmarkEnd w:id="36"/>
          </w:p>
        </w:tc>
      </w:tr>
      <w:tr>
        <w:trPr/>
        <w:tc>
          <w:tcPr>
            <w:tcW w:w="7365" w:type="dxa"/>
            <w:tcBorders/>
            <w:shd w:fill="CCEEFF" w:val="clear"/>
            <w:vAlign w:val="center"/>
          </w:tcPr>
          <w:p>
            <w:pPr>
              <w:pStyle w:val="TableContents"/>
              <w:bidi w:val="0"/>
              <w:spacing w:before="0" w:after="283"/>
              <w:jc w:val="center"/>
              <w:rPr>
                <w:b/>
              </w:rPr>
            </w:pPr>
            <w:r>
              <w:rPr>
                <w:b/>
              </w:rPr>
              <w:t>ASSETS</w:t>
            </w:r>
          </w:p>
        </w:tc>
        <w:tc>
          <w:tcPr>
            <w:tcW w:w="6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jc w:val="left"/>
              <w:rPr/>
            </w:pPr>
            <w:r>
              <w:rPr/>
              <w:t> </w:t>
            </w:r>
          </w:p>
        </w:tc>
        <w:tc>
          <w:tcPr>
            <w:tcW w:w="1023"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971" w:type="dxa"/>
            <w:tcBorders/>
            <w:shd w:fill="CCEEFF" w:val="clear"/>
            <w:vAlign w:val="center"/>
          </w:tcPr>
          <w:p>
            <w:pPr>
              <w:pStyle w:val="TableContents"/>
              <w:bidi w:val="0"/>
              <w:spacing w:before="0" w:after="283"/>
              <w:jc w:val="right"/>
              <w:rPr/>
            </w:pPr>
            <w:r>
              <w:rPr/>
              <w:t> </w:t>
            </w:r>
          </w:p>
        </w:tc>
        <w:tc>
          <w:tcPr>
            <w:tcW w:w="315" w:type="dxa"/>
            <w:tcBorders/>
            <w:shd w:fill="CCEEFF" w:val="clear"/>
            <w:vAlign w:val="center"/>
          </w:tcPr>
          <w:p>
            <w:pPr>
              <w:pStyle w:val="TableContents"/>
              <w:bidi w:val="0"/>
              <w:spacing w:before="0" w:after="283"/>
              <w:jc w:val="left"/>
              <w:rPr/>
            </w:pPr>
            <w:r>
              <w:rPr/>
              <w:t> </w:t>
            </w:r>
            <w:bookmarkStart w:id="37" w:name="xdx_406_eus-gaap--AssetsCurrentAbstract_"/>
            <w:bookmarkEnd w:id="37"/>
          </w:p>
        </w:tc>
      </w:tr>
      <w:tr>
        <w:trPr/>
        <w:tc>
          <w:tcPr>
            <w:tcW w:w="7365" w:type="dxa"/>
            <w:tcBorders/>
            <w:shd w:fill="FFFFFF" w:val="clear"/>
            <w:vAlign w:val="center"/>
          </w:tcPr>
          <w:p>
            <w:pPr>
              <w:pStyle w:val="TableContents"/>
              <w:bidi w:val="0"/>
              <w:spacing w:before="0" w:after="283"/>
              <w:jc w:val="left"/>
              <w:rPr/>
            </w:pPr>
            <w:r>
              <w:rPr/>
              <w:t>Current assets:</w:t>
            </w:r>
          </w:p>
        </w:tc>
        <w:tc>
          <w:tcPr>
            <w:tcW w:w="60"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 </w:t>
            </w:r>
          </w:p>
        </w:tc>
        <w:tc>
          <w:tcPr>
            <w:tcW w:w="1023"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971" w:type="dxa"/>
            <w:tcBorders/>
            <w:shd w:fill="FFFFFF" w:val="clear"/>
            <w:vAlign w:val="center"/>
          </w:tcPr>
          <w:p>
            <w:pPr>
              <w:pStyle w:val="TableContents"/>
              <w:bidi w:val="0"/>
              <w:spacing w:before="0" w:after="283"/>
              <w:jc w:val="right"/>
              <w:rPr/>
            </w:pPr>
            <w:r>
              <w:rPr/>
              <w:t> </w:t>
            </w:r>
          </w:p>
        </w:tc>
        <w:tc>
          <w:tcPr>
            <w:tcW w:w="315" w:type="dxa"/>
            <w:tcBorders/>
            <w:shd w:fill="FFFFFF" w:val="clear"/>
            <w:vAlign w:val="center"/>
          </w:tcPr>
          <w:p>
            <w:pPr>
              <w:pStyle w:val="TableContents"/>
              <w:bidi w:val="0"/>
              <w:spacing w:before="0" w:after="283"/>
              <w:jc w:val="left"/>
              <w:rPr/>
            </w:pPr>
            <w:r>
              <w:rPr/>
              <w:t> </w:t>
            </w:r>
            <w:bookmarkStart w:id="38" w:name="xdx_40C_eus-gaap--Cash_i02I_maACzsxb_zni"/>
            <w:bookmarkEnd w:id="38"/>
          </w:p>
        </w:tc>
      </w:tr>
      <w:tr>
        <w:trPr/>
        <w:tc>
          <w:tcPr>
            <w:tcW w:w="7365" w:type="dxa"/>
            <w:tcBorders/>
            <w:shd w:fill="CCEEFF" w:val="clear"/>
            <w:vAlign w:val="center"/>
          </w:tcPr>
          <w:p>
            <w:pPr>
              <w:pStyle w:val="TableContents"/>
              <w:bidi w:val="0"/>
              <w:spacing w:before="0" w:after="283"/>
              <w:jc w:val="left"/>
              <w:rPr/>
            </w:pPr>
            <w:r>
              <w:rPr/>
              <w:t>Cash</w:t>
            </w:r>
          </w:p>
        </w:tc>
        <w:tc>
          <w:tcPr>
            <w:tcW w:w="6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jc w:val="left"/>
              <w:rPr/>
            </w:pPr>
            <w:r>
              <w:rPr/>
              <w:t>$</w:t>
            </w:r>
          </w:p>
        </w:tc>
        <w:tc>
          <w:tcPr>
            <w:tcW w:w="1023" w:type="dxa"/>
            <w:tcBorders/>
            <w:shd w:fill="CCEEFF" w:val="clear"/>
            <w:vAlign w:val="center"/>
          </w:tcPr>
          <w:p>
            <w:pPr>
              <w:pStyle w:val="TableContents"/>
              <w:bidi w:val="0"/>
              <w:spacing w:before="0" w:after="283"/>
              <w:jc w:val="right"/>
              <w:rPr/>
            </w:pPr>
            <w:r>
              <w:rPr/>
              <w:t>11,045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w:t>
            </w:r>
          </w:p>
        </w:tc>
        <w:tc>
          <w:tcPr>
            <w:tcW w:w="971" w:type="dxa"/>
            <w:tcBorders/>
            <w:shd w:fill="CCEEFF" w:val="clear"/>
            <w:vAlign w:val="center"/>
          </w:tcPr>
          <w:p>
            <w:pPr>
              <w:pStyle w:val="TableContents"/>
              <w:bidi w:val="0"/>
              <w:spacing w:before="0" w:after="283"/>
              <w:jc w:val="right"/>
              <w:rPr/>
            </w:pPr>
            <w:r>
              <w:rPr/>
              <w:t>142</w:t>
            </w:r>
          </w:p>
        </w:tc>
        <w:tc>
          <w:tcPr>
            <w:tcW w:w="315" w:type="dxa"/>
            <w:tcBorders/>
            <w:shd w:fill="CCEEFF" w:val="clear"/>
            <w:vAlign w:val="center"/>
          </w:tcPr>
          <w:p>
            <w:pPr>
              <w:pStyle w:val="TableContents"/>
              <w:bidi w:val="0"/>
              <w:spacing w:before="0" w:after="283"/>
              <w:jc w:val="left"/>
              <w:rPr/>
            </w:pPr>
            <w:r>
              <w:rPr/>
              <w:t> </w:t>
            </w:r>
            <w:bookmarkStart w:id="39" w:name="xdx_401_eus-gaap--AccountsReceivableNetC"/>
            <w:bookmarkEnd w:id="39"/>
          </w:p>
        </w:tc>
      </w:tr>
      <w:tr>
        <w:trPr/>
        <w:tc>
          <w:tcPr>
            <w:tcW w:w="7365" w:type="dxa"/>
            <w:tcBorders/>
            <w:shd w:fill="FFFFFF" w:val="clear"/>
            <w:vAlign w:val="center"/>
          </w:tcPr>
          <w:p>
            <w:pPr>
              <w:pStyle w:val="TableContents"/>
              <w:bidi w:val="0"/>
              <w:spacing w:before="0" w:after="283"/>
              <w:jc w:val="left"/>
              <w:rPr/>
            </w:pPr>
            <w:r>
              <w:rPr/>
              <w:t>Accounts receivable, net</w:t>
            </w:r>
          </w:p>
        </w:tc>
        <w:tc>
          <w:tcPr>
            <w:tcW w:w="60"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 </w:t>
            </w:r>
          </w:p>
        </w:tc>
        <w:tc>
          <w:tcPr>
            <w:tcW w:w="1023"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971" w:type="dxa"/>
            <w:tcBorders/>
            <w:shd w:fill="FFFFFF" w:val="clear"/>
            <w:vAlign w:val="center"/>
          </w:tcPr>
          <w:p>
            <w:pPr>
              <w:pStyle w:val="TableContents"/>
              <w:bidi w:val="0"/>
              <w:spacing w:before="0" w:after="283"/>
              <w:jc w:val="right"/>
              <w:rPr/>
            </w:pPr>
            <w:r>
              <w:rPr/>
              <w:t>109</w:t>
            </w:r>
          </w:p>
        </w:tc>
        <w:tc>
          <w:tcPr>
            <w:tcW w:w="315" w:type="dxa"/>
            <w:tcBorders/>
            <w:shd w:fill="FFFFFF" w:val="clear"/>
            <w:vAlign w:val="center"/>
          </w:tcPr>
          <w:p>
            <w:pPr>
              <w:pStyle w:val="TableContents"/>
              <w:bidi w:val="0"/>
              <w:spacing w:before="0" w:after="283"/>
              <w:jc w:val="left"/>
              <w:rPr/>
            </w:pPr>
            <w:r>
              <w:rPr/>
              <w:t> </w:t>
            </w:r>
            <w:bookmarkStart w:id="40" w:name="xdx_40B_ecustom--SalesTaxReceivable_i02I"/>
            <w:bookmarkEnd w:id="40"/>
          </w:p>
        </w:tc>
      </w:tr>
      <w:tr>
        <w:trPr/>
        <w:tc>
          <w:tcPr>
            <w:tcW w:w="7365" w:type="dxa"/>
            <w:tcBorders/>
            <w:shd w:fill="CCEEFF" w:val="clear"/>
            <w:vAlign w:val="center"/>
          </w:tcPr>
          <w:p>
            <w:pPr>
              <w:pStyle w:val="TableContents"/>
              <w:bidi w:val="0"/>
              <w:spacing w:before="0" w:after="283"/>
              <w:jc w:val="left"/>
              <w:rPr/>
            </w:pPr>
            <w:r>
              <w:rPr/>
              <w:t>Sales tax receivable</w:t>
            </w:r>
          </w:p>
        </w:tc>
        <w:tc>
          <w:tcPr>
            <w:tcW w:w="6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jc w:val="left"/>
              <w:rPr/>
            </w:pPr>
            <w:r>
              <w:rPr/>
              <w:t> </w:t>
            </w:r>
          </w:p>
        </w:tc>
        <w:tc>
          <w:tcPr>
            <w:tcW w:w="1023" w:type="dxa"/>
            <w:tcBorders/>
            <w:shd w:fill="CCEEFF" w:val="clear"/>
            <w:vAlign w:val="center"/>
          </w:tcPr>
          <w:p>
            <w:pPr>
              <w:pStyle w:val="TableContents"/>
              <w:bidi w:val="0"/>
              <w:spacing w:before="0" w:after="283"/>
              <w:jc w:val="right"/>
              <w:rPr/>
            </w:pPr>
            <w:r>
              <w:rPr/>
              <w:t>39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971" w:type="dxa"/>
            <w:tcBorders/>
            <w:shd w:fill="CCEEFF" w:val="clear"/>
            <w:vAlign w:val="center"/>
          </w:tcPr>
          <w:p>
            <w:pPr>
              <w:pStyle w:val="TableContents"/>
              <w:bidi w:val="0"/>
              <w:spacing w:before="0" w:after="283"/>
              <w:jc w:val="right"/>
              <w:rPr/>
            </w:pPr>
            <w:r>
              <w:rPr/>
              <w:t>-</w:t>
            </w:r>
          </w:p>
        </w:tc>
        <w:tc>
          <w:tcPr>
            <w:tcW w:w="315" w:type="dxa"/>
            <w:tcBorders/>
            <w:shd w:fill="CCEEFF" w:val="clear"/>
            <w:vAlign w:val="center"/>
          </w:tcPr>
          <w:p>
            <w:pPr>
              <w:pStyle w:val="TableContents"/>
              <w:bidi w:val="0"/>
              <w:spacing w:before="0" w:after="283"/>
              <w:jc w:val="left"/>
              <w:rPr/>
            </w:pPr>
            <w:r>
              <w:rPr/>
              <w:t> </w:t>
            </w:r>
            <w:bookmarkStart w:id="41" w:name="xdx_40B_eus-gaap--OtherReceivablesNetCur"/>
            <w:bookmarkEnd w:id="41"/>
          </w:p>
        </w:tc>
      </w:tr>
      <w:tr>
        <w:trPr/>
        <w:tc>
          <w:tcPr>
            <w:tcW w:w="7365" w:type="dxa"/>
            <w:tcBorders/>
            <w:shd w:fill="FFFFFF" w:val="clear"/>
            <w:vAlign w:val="center"/>
          </w:tcPr>
          <w:p>
            <w:pPr>
              <w:pStyle w:val="TableContents"/>
              <w:bidi w:val="0"/>
              <w:spacing w:before="0" w:after="283"/>
              <w:jc w:val="left"/>
              <w:rPr/>
            </w:pPr>
            <w:r>
              <w:rPr/>
              <w:t>Due from related party</w:t>
            </w:r>
          </w:p>
        </w:tc>
        <w:tc>
          <w:tcPr>
            <w:tcW w:w="60"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 </w:t>
            </w:r>
          </w:p>
        </w:tc>
        <w:tc>
          <w:tcPr>
            <w:tcW w:w="1023" w:type="dxa"/>
            <w:tcBorders/>
            <w:shd w:fill="FFFFFF" w:val="clear"/>
            <w:vAlign w:val="center"/>
          </w:tcPr>
          <w:p>
            <w:pPr>
              <w:pStyle w:val="TableContents"/>
              <w:bidi w:val="0"/>
              <w:spacing w:before="0" w:after="283"/>
              <w:jc w:val="right"/>
              <w:rPr/>
            </w:pPr>
            <w:r>
              <w:rPr/>
              <w:t>11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971" w:type="dxa"/>
            <w:tcBorders/>
            <w:shd w:fill="FFFFFF" w:val="clear"/>
            <w:vAlign w:val="center"/>
          </w:tcPr>
          <w:p>
            <w:pPr>
              <w:pStyle w:val="TableContents"/>
              <w:bidi w:val="0"/>
              <w:spacing w:before="0" w:after="283"/>
              <w:jc w:val="right"/>
              <w:rPr/>
            </w:pPr>
            <w:r>
              <w:rPr/>
              <w:t>-</w:t>
            </w:r>
          </w:p>
        </w:tc>
        <w:tc>
          <w:tcPr>
            <w:tcW w:w="315" w:type="dxa"/>
            <w:tcBorders/>
            <w:shd w:fill="FFFFFF" w:val="clear"/>
            <w:vAlign w:val="center"/>
          </w:tcPr>
          <w:p>
            <w:pPr>
              <w:pStyle w:val="TableContents"/>
              <w:bidi w:val="0"/>
              <w:spacing w:before="0" w:after="283"/>
              <w:jc w:val="left"/>
              <w:rPr/>
            </w:pPr>
            <w:r>
              <w:rPr/>
              <w:t> </w:t>
            </w:r>
            <w:bookmarkStart w:id="42" w:name="xdx_404_eus-gaap--SalesTypeLeaseLeaseRec"/>
            <w:bookmarkEnd w:id="42"/>
          </w:p>
        </w:tc>
      </w:tr>
      <w:tr>
        <w:trPr/>
        <w:tc>
          <w:tcPr>
            <w:tcW w:w="7365" w:type="dxa"/>
            <w:tcBorders/>
            <w:shd w:fill="CCEEFF" w:val="clear"/>
            <w:vAlign w:val="center"/>
          </w:tcPr>
          <w:p>
            <w:pPr>
              <w:pStyle w:val="TableContents"/>
              <w:bidi w:val="0"/>
              <w:spacing w:before="0" w:after="283"/>
              <w:jc w:val="left"/>
              <w:rPr/>
            </w:pPr>
            <w:r>
              <w:rPr/>
              <w:t>Net investment in leases, short term</w:t>
            </w:r>
          </w:p>
        </w:tc>
        <w:tc>
          <w:tcPr>
            <w:tcW w:w="6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jc w:val="left"/>
              <w:rPr/>
            </w:pPr>
            <w:r>
              <w:rPr/>
              <w:t> </w:t>
            </w:r>
          </w:p>
        </w:tc>
        <w:tc>
          <w:tcPr>
            <w:tcW w:w="1023"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971" w:type="dxa"/>
            <w:tcBorders/>
            <w:shd w:fill="CCEEFF" w:val="clear"/>
            <w:vAlign w:val="center"/>
          </w:tcPr>
          <w:p>
            <w:pPr>
              <w:pStyle w:val="TableContents"/>
              <w:bidi w:val="0"/>
              <w:spacing w:before="0" w:after="283"/>
              <w:jc w:val="right"/>
              <w:rPr/>
            </w:pPr>
            <w:r>
              <w:rPr/>
              <w:t>13</w:t>
            </w:r>
          </w:p>
        </w:tc>
        <w:tc>
          <w:tcPr>
            <w:tcW w:w="315" w:type="dxa"/>
            <w:tcBorders/>
            <w:shd w:fill="CCEEFF" w:val="clear"/>
            <w:vAlign w:val="center"/>
          </w:tcPr>
          <w:p>
            <w:pPr>
              <w:pStyle w:val="TableContents"/>
              <w:bidi w:val="0"/>
              <w:spacing w:before="0" w:after="283"/>
              <w:jc w:val="left"/>
              <w:rPr/>
            </w:pPr>
            <w:r>
              <w:rPr/>
              <w:t> </w:t>
            </w:r>
            <w:bookmarkStart w:id="43" w:name="xdx_407_eus-gaap--PrepaidExpenseCurrent_"/>
            <w:bookmarkEnd w:id="43"/>
          </w:p>
        </w:tc>
      </w:tr>
      <w:tr>
        <w:trPr/>
        <w:tc>
          <w:tcPr>
            <w:tcW w:w="7365" w:type="dxa"/>
            <w:tcBorders/>
            <w:shd w:fill="FFFFFF" w:val="clear"/>
            <w:vAlign w:val="center"/>
          </w:tcPr>
          <w:p>
            <w:pPr>
              <w:pStyle w:val="TableContents"/>
              <w:bidi w:val="0"/>
              <w:spacing w:before="0" w:after="283"/>
              <w:jc w:val="left"/>
              <w:rPr/>
            </w:pPr>
            <w:r>
              <w:rPr/>
              <w:t>Prepaid expenses and vendor deposits</w:t>
            </w:r>
          </w:p>
        </w:tc>
        <w:tc>
          <w:tcPr>
            <w:tcW w:w="60" w:type="dxa"/>
            <w:tcBorders/>
            <w:shd w:fill="FFFFFF" w:val="clear"/>
            <w:vAlign w:val="center"/>
          </w:tcPr>
          <w:p>
            <w:pPr>
              <w:pStyle w:val="TableContents"/>
              <w:bidi w:val="0"/>
              <w:spacing w:before="0" w:after="283"/>
              <w:jc w:val="left"/>
              <w:rPr/>
            </w:pPr>
            <w:r>
              <w:rPr/>
              <w:t> </w:t>
            </w:r>
          </w:p>
        </w:tc>
        <w:tc>
          <w:tcPr>
            <w:tcW w:w="16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23" w:type="dxa"/>
            <w:tcBorders>
              <w:bottom w:val="single" w:sz="8" w:space="0" w:color="000000"/>
            </w:tcBorders>
            <w:shd w:fill="FFFFFF" w:val="clear"/>
            <w:tcMar>
              <w:bottom w:w="28" w:type="dxa"/>
            </w:tcMar>
            <w:vAlign w:val="center"/>
          </w:tcPr>
          <w:p>
            <w:pPr>
              <w:pStyle w:val="TableContents"/>
              <w:bidi w:val="0"/>
              <w:spacing w:before="0" w:after="283"/>
              <w:jc w:val="right"/>
              <w:rPr/>
            </w:pPr>
            <w:r>
              <w:rPr/>
              <w:t>3,897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71" w:type="dxa"/>
            <w:tcBorders>
              <w:bottom w:val="single" w:sz="8" w:space="0" w:color="000000"/>
            </w:tcBorders>
            <w:shd w:fill="FFFFFF" w:val="clear"/>
            <w:tcMar>
              <w:bottom w:w="28" w:type="dxa"/>
            </w:tcMar>
            <w:vAlign w:val="center"/>
          </w:tcPr>
          <w:p>
            <w:pPr>
              <w:pStyle w:val="TableContents"/>
              <w:bidi w:val="0"/>
              <w:spacing w:before="0" w:after="283"/>
              <w:jc w:val="right"/>
              <w:rPr/>
            </w:pPr>
            <w:r>
              <w:rPr/>
              <w:t>80</w:t>
            </w:r>
          </w:p>
        </w:tc>
        <w:tc>
          <w:tcPr>
            <w:tcW w:w="315" w:type="dxa"/>
            <w:tcBorders/>
            <w:shd w:fill="FFFFFF" w:val="clear"/>
            <w:vAlign w:val="center"/>
          </w:tcPr>
          <w:p>
            <w:pPr>
              <w:pStyle w:val="TableContents"/>
              <w:bidi w:val="0"/>
              <w:spacing w:before="0" w:after="283"/>
              <w:jc w:val="left"/>
              <w:rPr/>
            </w:pPr>
            <w:r>
              <w:rPr/>
              <w:t> </w:t>
            </w:r>
            <w:bookmarkStart w:id="44" w:name="xdx_40C_eus-gaap--AssetsCurrent_i02TI_mt"/>
            <w:bookmarkEnd w:id="44"/>
          </w:p>
        </w:tc>
      </w:tr>
      <w:tr>
        <w:trPr/>
        <w:tc>
          <w:tcPr>
            <w:tcW w:w="7365" w:type="dxa"/>
            <w:tcBorders/>
            <w:shd w:fill="CCEEFF" w:val="clear"/>
            <w:vAlign w:val="center"/>
          </w:tcPr>
          <w:p>
            <w:pPr>
              <w:pStyle w:val="TableContents"/>
              <w:bidi w:val="0"/>
              <w:spacing w:before="0" w:after="283"/>
              <w:jc w:val="left"/>
              <w:rPr>
                <w:b/>
              </w:rPr>
            </w:pPr>
            <w:r>
              <w:rPr>
                <w:b/>
              </w:rPr>
              <w:t>Total current assets</w:t>
            </w:r>
          </w:p>
        </w:tc>
        <w:tc>
          <w:tcPr>
            <w:tcW w:w="6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jc w:val="left"/>
              <w:rPr/>
            </w:pPr>
            <w:r>
              <w:rPr/>
              <w:t> </w:t>
            </w:r>
          </w:p>
        </w:tc>
        <w:tc>
          <w:tcPr>
            <w:tcW w:w="1023" w:type="dxa"/>
            <w:tcBorders/>
            <w:shd w:fill="CCEEFF" w:val="clear"/>
            <w:vAlign w:val="center"/>
          </w:tcPr>
          <w:p>
            <w:pPr>
              <w:pStyle w:val="TableContents"/>
              <w:bidi w:val="0"/>
              <w:spacing w:before="0" w:after="283"/>
              <w:jc w:val="right"/>
              <w:rPr>
                <w:b/>
              </w:rPr>
            </w:pPr>
            <w:r>
              <w:rPr>
                <w:b/>
              </w:rPr>
              <w:t>14,992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971" w:type="dxa"/>
            <w:tcBorders/>
            <w:shd w:fill="CCEEFF" w:val="clear"/>
            <w:vAlign w:val="center"/>
          </w:tcPr>
          <w:p>
            <w:pPr>
              <w:pStyle w:val="TableContents"/>
              <w:bidi w:val="0"/>
              <w:spacing w:before="0" w:after="283"/>
              <w:jc w:val="right"/>
              <w:rPr>
                <w:b/>
              </w:rPr>
            </w:pPr>
            <w:r>
              <w:rPr>
                <w:b/>
              </w:rPr>
              <w:t>344</w:t>
            </w:r>
          </w:p>
        </w:tc>
        <w:tc>
          <w:tcPr>
            <w:tcW w:w="315" w:type="dxa"/>
            <w:tcBorders/>
            <w:shd w:fill="CCEEFF" w:val="clear"/>
            <w:vAlign w:val="center"/>
          </w:tcPr>
          <w:p>
            <w:pPr>
              <w:pStyle w:val="TableContents"/>
              <w:bidi w:val="0"/>
              <w:spacing w:before="0" w:after="283"/>
              <w:jc w:val="left"/>
              <w:rPr/>
            </w:pPr>
            <w:r>
              <w:rPr/>
              <w:t> </w:t>
            </w:r>
            <w:bookmarkStart w:id="45" w:name="xdx_406_eus-gaap--AssetsNoncurrentAbstra"/>
            <w:bookmarkEnd w:id="45"/>
          </w:p>
        </w:tc>
      </w:tr>
      <w:tr>
        <w:trPr/>
        <w:tc>
          <w:tcPr>
            <w:tcW w:w="7365" w:type="dxa"/>
            <w:tcBorders/>
            <w:shd w:fill="FFFFFF" w:val="clear"/>
            <w:vAlign w:val="center"/>
          </w:tcPr>
          <w:p>
            <w:pPr>
              <w:pStyle w:val="TableContents"/>
              <w:bidi w:val="0"/>
              <w:spacing w:before="0" w:after="283"/>
              <w:jc w:val="left"/>
              <w:rPr/>
            </w:pPr>
            <w:r>
              <w:rPr/>
              <w:t>Non-current assets:</w:t>
            </w:r>
          </w:p>
        </w:tc>
        <w:tc>
          <w:tcPr>
            <w:tcW w:w="60"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 </w:t>
            </w:r>
          </w:p>
        </w:tc>
        <w:tc>
          <w:tcPr>
            <w:tcW w:w="1023"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971" w:type="dxa"/>
            <w:tcBorders/>
            <w:shd w:fill="FFFFFF" w:val="clear"/>
            <w:vAlign w:val="center"/>
          </w:tcPr>
          <w:p>
            <w:pPr>
              <w:pStyle w:val="TableContents"/>
              <w:bidi w:val="0"/>
              <w:spacing w:before="0" w:after="283"/>
              <w:jc w:val="right"/>
              <w:rPr/>
            </w:pPr>
            <w:r>
              <w:rPr/>
              <w:t> </w:t>
            </w:r>
          </w:p>
        </w:tc>
        <w:tc>
          <w:tcPr>
            <w:tcW w:w="315" w:type="dxa"/>
            <w:tcBorders/>
            <w:shd w:fill="FFFFFF" w:val="clear"/>
            <w:vAlign w:val="center"/>
          </w:tcPr>
          <w:p>
            <w:pPr>
              <w:pStyle w:val="TableContents"/>
              <w:bidi w:val="0"/>
              <w:spacing w:before="0" w:after="283"/>
              <w:jc w:val="left"/>
              <w:rPr/>
            </w:pPr>
            <w:r>
              <w:rPr/>
              <w:t> </w:t>
            </w:r>
            <w:bookmarkStart w:id="46" w:name="xdx_407_eus-gaap--PropertyPlantAndEquipm"/>
            <w:bookmarkEnd w:id="46"/>
          </w:p>
        </w:tc>
      </w:tr>
      <w:tr>
        <w:trPr/>
        <w:tc>
          <w:tcPr>
            <w:tcW w:w="7365" w:type="dxa"/>
            <w:tcBorders/>
            <w:shd w:fill="CCEEFF" w:val="clear"/>
            <w:vAlign w:val="center"/>
          </w:tcPr>
          <w:p>
            <w:pPr>
              <w:pStyle w:val="TableContents"/>
              <w:bidi w:val="0"/>
              <w:spacing w:before="0" w:after="283"/>
              <w:jc w:val="left"/>
              <w:rPr/>
            </w:pPr>
            <w:r>
              <w:rPr/>
              <w:t>Property and equipment, net</w:t>
            </w:r>
          </w:p>
        </w:tc>
        <w:tc>
          <w:tcPr>
            <w:tcW w:w="6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jc w:val="left"/>
              <w:rPr/>
            </w:pPr>
            <w:r>
              <w:rPr/>
              <w:t> </w:t>
            </w:r>
          </w:p>
        </w:tc>
        <w:tc>
          <w:tcPr>
            <w:tcW w:w="1023" w:type="dxa"/>
            <w:tcBorders/>
            <w:shd w:fill="CCEEFF" w:val="clear"/>
            <w:vAlign w:val="center"/>
          </w:tcPr>
          <w:p>
            <w:pPr>
              <w:pStyle w:val="TableContents"/>
              <w:bidi w:val="0"/>
              <w:spacing w:before="0" w:after="283"/>
              <w:jc w:val="right"/>
              <w:rPr/>
            </w:pPr>
            <w:r>
              <w:rPr/>
              <w:t>38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971" w:type="dxa"/>
            <w:tcBorders/>
            <w:shd w:fill="CCEEFF" w:val="clear"/>
            <w:vAlign w:val="center"/>
          </w:tcPr>
          <w:p>
            <w:pPr>
              <w:pStyle w:val="TableContents"/>
              <w:bidi w:val="0"/>
              <w:spacing w:before="0" w:after="283"/>
              <w:jc w:val="right"/>
              <w:rPr/>
            </w:pPr>
            <w:r>
              <w:rPr/>
              <w:t>85</w:t>
            </w:r>
          </w:p>
        </w:tc>
        <w:tc>
          <w:tcPr>
            <w:tcW w:w="315" w:type="dxa"/>
            <w:tcBorders/>
            <w:shd w:fill="CCEEFF" w:val="clear"/>
            <w:vAlign w:val="center"/>
          </w:tcPr>
          <w:p>
            <w:pPr>
              <w:pStyle w:val="TableContents"/>
              <w:bidi w:val="0"/>
              <w:spacing w:before="0" w:after="283"/>
              <w:jc w:val="left"/>
              <w:rPr/>
            </w:pPr>
            <w:r>
              <w:rPr/>
              <w:t> </w:t>
            </w:r>
            <w:bookmarkStart w:id="47" w:name="xdx_40F_eus-gaap--OperatingLeaseRightOfU"/>
            <w:bookmarkEnd w:id="47"/>
          </w:p>
        </w:tc>
      </w:tr>
      <w:tr>
        <w:trPr/>
        <w:tc>
          <w:tcPr>
            <w:tcW w:w="7365" w:type="dxa"/>
            <w:tcBorders/>
            <w:shd w:fill="FFFFFF" w:val="clear"/>
            <w:vAlign w:val="center"/>
          </w:tcPr>
          <w:p>
            <w:pPr>
              <w:pStyle w:val="TableContents"/>
              <w:bidi w:val="0"/>
              <w:spacing w:before="0" w:after="283"/>
              <w:jc w:val="left"/>
              <w:rPr/>
            </w:pPr>
            <w:r>
              <w:rPr/>
              <w:t>Right-to-use assets, net</w:t>
            </w:r>
          </w:p>
        </w:tc>
        <w:tc>
          <w:tcPr>
            <w:tcW w:w="60"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 </w:t>
            </w:r>
          </w:p>
        </w:tc>
        <w:tc>
          <w:tcPr>
            <w:tcW w:w="1023"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971" w:type="dxa"/>
            <w:tcBorders/>
            <w:shd w:fill="FFFFFF" w:val="clear"/>
            <w:vAlign w:val="center"/>
          </w:tcPr>
          <w:p>
            <w:pPr>
              <w:pStyle w:val="TableContents"/>
              <w:bidi w:val="0"/>
              <w:spacing w:before="0" w:after="283"/>
              <w:jc w:val="right"/>
              <w:rPr/>
            </w:pPr>
            <w:r>
              <w:rPr/>
              <w:t>96</w:t>
            </w:r>
          </w:p>
        </w:tc>
        <w:tc>
          <w:tcPr>
            <w:tcW w:w="315" w:type="dxa"/>
            <w:tcBorders/>
            <w:shd w:fill="FFFFFF" w:val="clear"/>
            <w:vAlign w:val="center"/>
          </w:tcPr>
          <w:p>
            <w:pPr>
              <w:pStyle w:val="TableContents"/>
              <w:bidi w:val="0"/>
              <w:spacing w:before="0" w:after="283"/>
              <w:jc w:val="left"/>
              <w:rPr/>
            </w:pPr>
            <w:r>
              <w:rPr/>
              <w:t> </w:t>
            </w:r>
            <w:bookmarkStart w:id="48" w:name="xdx_402_eus-gaap--SalesTypeAndDirectFina"/>
            <w:bookmarkEnd w:id="48"/>
          </w:p>
        </w:tc>
      </w:tr>
      <w:tr>
        <w:trPr/>
        <w:tc>
          <w:tcPr>
            <w:tcW w:w="7365" w:type="dxa"/>
            <w:tcBorders/>
            <w:shd w:fill="CCEEFF" w:val="clear"/>
            <w:vAlign w:val="center"/>
          </w:tcPr>
          <w:p>
            <w:pPr>
              <w:pStyle w:val="TableContents"/>
              <w:bidi w:val="0"/>
              <w:spacing w:before="0" w:after="283"/>
              <w:jc w:val="left"/>
              <w:rPr/>
            </w:pPr>
            <w:r>
              <w:rPr/>
              <w:t>Net investment in leases, long term</w:t>
            </w:r>
          </w:p>
        </w:tc>
        <w:tc>
          <w:tcPr>
            <w:tcW w:w="6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jc w:val="left"/>
              <w:rPr/>
            </w:pPr>
            <w:r>
              <w:rPr/>
              <w:t> </w:t>
            </w:r>
          </w:p>
        </w:tc>
        <w:tc>
          <w:tcPr>
            <w:tcW w:w="1023"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971" w:type="dxa"/>
            <w:tcBorders/>
            <w:shd w:fill="CCEEFF" w:val="clear"/>
            <w:vAlign w:val="center"/>
          </w:tcPr>
          <w:p>
            <w:pPr>
              <w:pStyle w:val="TableContents"/>
              <w:bidi w:val="0"/>
              <w:spacing w:before="0" w:after="283"/>
              <w:jc w:val="right"/>
              <w:rPr/>
            </w:pPr>
            <w:r>
              <w:rPr/>
              <w:t>4</w:t>
            </w:r>
          </w:p>
        </w:tc>
        <w:tc>
          <w:tcPr>
            <w:tcW w:w="315" w:type="dxa"/>
            <w:tcBorders/>
            <w:shd w:fill="CCEEFF" w:val="clear"/>
            <w:vAlign w:val="center"/>
          </w:tcPr>
          <w:p>
            <w:pPr>
              <w:pStyle w:val="TableContents"/>
              <w:bidi w:val="0"/>
              <w:spacing w:before="0" w:after="283"/>
              <w:jc w:val="left"/>
              <w:rPr/>
            </w:pPr>
            <w:r>
              <w:rPr/>
              <w:t> </w:t>
            </w:r>
            <w:bookmarkStart w:id="49" w:name="xdx_40A_eus-gaap--LongTermInvestments_i0"/>
            <w:bookmarkEnd w:id="49"/>
          </w:p>
        </w:tc>
      </w:tr>
      <w:tr>
        <w:trPr/>
        <w:tc>
          <w:tcPr>
            <w:tcW w:w="7365" w:type="dxa"/>
            <w:tcBorders/>
            <w:shd w:fill="FFFFFF" w:val="clear"/>
            <w:vAlign w:val="center"/>
          </w:tcPr>
          <w:p>
            <w:pPr>
              <w:pStyle w:val="TableContents"/>
              <w:bidi w:val="0"/>
              <w:spacing w:before="0" w:after="283"/>
              <w:jc w:val="left"/>
              <w:rPr/>
            </w:pPr>
            <w:r>
              <w:rPr/>
              <w:t>Investments</w:t>
            </w:r>
          </w:p>
        </w:tc>
        <w:tc>
          <w:tcPr>
            <w:tcW w:w="60"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 </w:t>
            </w:r>
          </w:p>
        </w:tc>
        <w:tc>
          <w:tcPr>
            <w:tcW w:w="1023" w:type="dxa"/>
            <w:tcBorders/>
            <w:shd w:fill="FFFFFF" w:val="clear"/>
            <w:vAlign w:val="center"/>
          </w:tcPr>
          <w:p>
            <w:pPr>
              <w:pStyle w:val="TableContents"/>
              <w:bidi w:val="0"/>
              <w:spacing w:before="0" w:after="283"/>
              <w:jc w:val="right"/>
              <w:rPr/>
            </w:pPr>
            <w:r>
              <w:rPr/>
              <w:t>142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971" w:type="dxa"/>
            <w:tcBorders/>
            <w:shd w:fill="FFFFFF" w:val="clear"/>
            <w:vAlign w:val="center"/>
          </w:tcPr>
          <w:p>
            <w:pPr>
              <w:pStyle w:val="TableContents"/>
              <w:bidi w:val="0"/>
              <w:spacing w:before="0" w:after="283"/>
              <w:jc w:val="right"/>
              <w:rPr/>
            </w:pPr>
            <w:r>
              <w:rPr/>
              <w:t>-</w:t>
            </w:r>
          </w:p>
        </w:tc>
        <w:tc>
          <w:tcPr>
            <w:tcW w:w="315" w:type="dxa"/>
            <w:tcBorders/>
            <w:shd w:fill="FFFFFF" w:val="clear"/>
            <w:vAlign w:val="center"/>
          </w:tcPr>
          <w:p>
            <w:pPr>
              <w:pStyle w:val="TableContents"/>
              <w:bidi w:val="0"/>
              <w:spacing w:before="0" w:after="283"/>
              <w:jc w:val="left"/>
              <w:rPr/>
            </w:pPr>
            <w:r>
              <w:rPr/>
              <w:t> </w:t>
            </w:r>
            <w:bookmarkStart w:id="50" w:name="xdx_402_eus-gaap--OtherAssetsNoncurrent_"/>
            <w:bookmarkEnd w:id="50"/>
          </w:p>
        </w:tc>
      </w:tr>
      <w:tr>
        <w:trPr/>
        <w:tc>
          <w:tcPr>
            <w:tcW w:w="7365" w:type="dxa"/>
            <w:tcBorders/>
            <w:shd w:fill="CCEEFF" w:val="clear"/>
            <w:vAlign w:val="center"/>
          </w:tcPr>
          <w:p>
            <w:pPr>
              <w:pStyle w:val="TableContents"/>
              <w:bidi w:val="0"/>
              <w:spacing w:before="0" w:after="283"/>
              <w:jc w:val="left"/>
              <w:rPr/>
            </w:pPr>
            <w:r>
              <w:rPr/>
              <w:t>Other assets</w:t>
            </w:r>
          </w:p>
        </w:tc>
        <w:tc>
          <w:tcPr>
            <w:tcW w:w="6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jc w:val="left"/>
              <w:rPr/>
            </w:pPr>
            <w:r>
              <w:rPr/>
              <w:t> </w:t>
            </w:r>
          </w:p>
        </w:tc>
        <w:tc>
          <w:tcPr>
            <w:tcW w:w="1023" w:type="dxa"/>
            <w:tcBorders/>
            <w:shd w:fill="CCEEFF" w:val="clear"/>
            <w:vAlign w:val="center"/>
          </w:tcPr>
          <w:p>
            <w:pPr>
              <w:pStyle w:val="TableContents"/>
              <w:bidi w:val="0"/>
              <w:spacing w:before="0" w:after="283"/>
              <w:jc w:val="right"/>
              <w:rPr/>
            </w:pPr>
            <w:r>
              <w:rPr/>
              <w:t>44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971" w:type="dxa"/>
            <w:tcBorders/>
            <w:shd w:fill="CCEEFF" w:val="clear"/>
            <w:vAlign w:val="center"/>
          </w:tcPr>
          <w:p>
            <w:pPr>
              <w:pStyle w:val="TableContents"/>
              <w:bidi w:val="0"/>
              <w:spacing w:before="0" w:after="283"/>
              <w:jc w:val="right"/>
              <w:rPr/>
            </w:pPr>
            <w:r>
              <w:rPr/>
              <w:t>44</w:t>
            </w:r>
          </w:p>
        </w:tc>
        <w:tc>
          <w:tcPr>
            <w:tcW w:w="315" w:type="dxa"/>
            <w:tcBorders/>
            <w:shd w:fill="CCEEFF" w:val="clear"/>
            <w:vAlign w:val="center"/>
          </w:tcPr>
          <w:p>
            <w:pPr>
              <w:pStyle w:val="TableContents"/>
              <w:bidi w:val="0"/>
              <w:spacing w:before="0" w:after="283"/>
              <w:jc w:val="left"/>
              <w:rPr/>
            </w:pPr>
            <w:r>
              <w:rPr/>
              <w:t> </w:t>
            </w:r>
            <w:bookmarkStart w:id="51" w:name="xdx_403_eus-gaap--IntangibleAssetsNetExc"/>
            <w:bookmarkEnd w:id="51"/>
          </w:p>
        </w:tc>
      </w:tr>
      <w:tr>
        <w:trPr/>
        <w:tc>
          <w:tcPr>
            <w:tcW w:w="7365" w:type="dxa"/>
            <w:tcBorders/>
            <w:shd w:fill="FFFFFF" w:val="clear"/>
            <w:vAlign w:val="center"/>
          </w:tcPr>
          <w:p>
            <w:pPr>
              <w:pStyle w:val="TableContents"/>
              <w:bidi w:val="0"/>
              <w:spacing w:before="0" w:after="283"/>
              <w:jc w:val="left"/>
              <w:rPr/>
            </w:pPr>
            <w:r>
              <w:rPr/>
              <w:t>Intangible assets, net</w:t>
            </w:r>
          </w:p>
        </w:tc>
        <w:tc>
          <w:tcPr>
            <w:tcW w:w="60"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 </w:t>
            </w:r>
          </w:p>
        </w:tc>
        <w:tc>
          <w:tcPr>
            <w:tcW w:w="1023" w:type="dxa"/>
            <w:tcBorders/>
            <w:shd w:fill="FFFFFF" w:val="clear"/>
            <w:vAlign w:val="center"/>
          </w:tcPr>
          <w:p>
            <w:pPr>
              <w:pStyle w:val="TableContents"/>
              <w:bidi w:val="0"/>
              <w:spacing w:before="0" w:after="283"/>
              <w:jc w:val="right"/>
              <w:rPr/>
            </w:pPr>
            <w:r>
              <w:rPr/>
              <w:t>45,410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971" w:type="dxa"/>
            <w:tcBorders/>
            <w:shd w:fill="FFFFFF" w:val="clear"/>
            <w:vAlign w:val="center"/>
          </w:tcPr>
          <w:p>
            <w:pPr>
              <w:pStyle w:val="TableContents"/>
              <w:bidi w:val="0"/>
              <w:spacing w:before="0" w:after="283"/>
              <w:jc w:val="right"/>
              <w:rPr/>
            </w:pPr>
            <w:r>
              <w:rPr/>
              <w:t>269</w:t>
            </w:r>
          </w:p>
        </w:tc>
        <w:tc>
          <w:tcPr>
            <w:tcW w:w="315" w:type="dxa"/>
            <w:tcBorders/>
            <w:shd w:fill="FFFFFF" w:val="clear"/>
            <w:vAlign w:val="center"/>
          </w:tcPr>
          <w:p>
            <w:pPr>
              <w:pStyle w:val="TableContents"/>
              <w:bidi w:val="0"/>
              <w:spacing w:before="0" w:after="283"/>
              <w:jc w:val="left"/>
              <w:rPr/>
            </w:pPr>
            <w:r>
              <w:rPr/>
              <w:t> </w:t>
            </w:r>
            <w:bookmarkStart w:id="52" w:name="xdx_40F_eus-gaap--Goodwill_i02I_maANzXN3"/>
            <w:bookmarkEnd w:id="52"/>
          </w:p>
        </w:tc>
      </w:tr>
      <w:tr>
        <w:trPr/>
        <w:tc>
          <w:tcPr>
            <w:tcW w:w="7365" w:type="dxa"/>
            <w:tcBorders/>
            <w:shd w:fill="CCEEFF" w:val="clear"/>
            <w:vAlign w:val="center"/>
          </w:tcPr>
          <w:p>
            <w:pPr>
              <w:pStyle w:val="TableContents"/>
              <w:bidi w:val="0"/>
              <w:spacing w:before="0" w:after="283"/>
              <w:jc w:val="left"/>
              <w:rPr/>
            </w:pPr>
            <w:r>
              <w:rPr/>
              <w:t>Goodwill</w:t>
            </w:r>
          </w:p>
        </w:tc>
        <w:tc>
          <w:tcPr>
            <w:tcW w:w="60" w:type="dxa"/>
            <w:tcBorders/>
            <w:shd w:fill="CCEEFF" w:val="clear"/>
            <w:vAlign w:val="center"/>
          </w:tcPr>
          <w:p>
            <w:pPr>
              <w:pStyle w:val="TableContents"/>
              <w:bidi w:val="0"/>
              <w:spacing w:before="0" w:after="283"/>
              <w:jc w:val="left"/>
              <w:rPr/>
            </w:pPr>
            <w:r>
              <w:rPr/>
              <w:t> </w:t>
            </w:r>
          </w:p>
        </w:tc>
        <w:tc>
          <w:tcPr>
            <w:tcW w:w="16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23" w:type="dxa"/>
            <w:tcBorders>
              <w:bottom w:val="single" w:sz="8" w:space="0" w:color="000000"/>
            </w:tcBorders>
            <w:shd w:fill="CCEEFF" w:val="clear"/>
            <w:tcMar>
              <w:bottom w:w="28" w:type="dxa"/>
            </w:tcMar>
            <w:vAlign w:val="center"/>
          </w:tcPr>
          <w:p>
            <w:pPr>
              <w:pStyle w:val="TableContents"/>
              <w:bidi w:val="0"/>
              <w:spacing w:before="0" w:after="283"/>
              <w:jc w:val="right"/>
              <w:rPr/>
            </w:pPr>
            <w:r>
              <w:rPr/>
              <w:t>69,888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71"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315" w:type="dxa"/>
            <w:tcBorders/>
            <w:shd w:fill="CCEEFF" w:val="clear"/>
            <w:vAlign w:val="center"/>
          </w:tcPr>
          <w:p>
            <w:pPr>
              <w:pStyle w:val="TableContents"/>
              <w:bidi w:val="0"/>
              <w:spacing w:before="0" w:after="283"/>
              <w:jc w:val="left"/>
              <w:rPr/>
            </w:pPr>
            <w:r>
              <w:rPr/>
              <w:t> </w:t>
            </w:r>
            <w:bookmarkStart w:id="53" w:name="xdx_403_eus-gaap--AssetsNoncurrent_i01TI"/>
            <w:bookmarkEnd w:id="53"/>
          </w:p>
        </w:tc>
      </w:tr>
      <w:tr>
        <w:trPr/>
        <w:tc>
          <w:tcPr>
            <w:tcW w:w="7365" w:type="dxa"/>
            <w:tcBorders/>
            <w:shd w:fill="FFFFFF" w:val="clear"/>
            <w:vAlign w:val="center"/>
          </w:tcPr>
          <w:p>
            <w:pPr>
              <w:pStyle w:val="TableContents"/>
              <w:bidi w:val="0"/>
              <w:spacing w:before="0" w:after="283"/>
              <w:jc w:val="left"/>
              <w:rPr>
                <w:b/>
              </w:rPr>
            </w:pPr>
            <w:r>
              <w:rPr>
                <w:b/>
              </w:rPr>
              <w:t>Total non-current assets</w:t>
            </w:r>
          </w:p>
        </w:tc>
        <w:tc>
          <w:tcPr>
            <w:tcW w:w="60" w:type="dxa"/>
            <w:tcBorders/>
            <w:shd w:fill="FFFFFF" w:val="clear"/>
            <w:vAlign w:val="center"/>
          </w:tcPr>
          <w:p>
            <w:pPr>
              <w:pStyle w:val="TableContents"/>
              <w:bidi w:val="0"/>
              <w:spacing w:before="0" w:after="283"/>
              <w:jc w:val="left"/>
              <w:rPr/>
            </w:pPr>
            <w:r>
              <w:rPr/>
              <w:t> </w:t>
            </w:r>
          </w:p>
        </w:tc>
        <w:tc>
          <w:tcPr>
            <w:tcW w:w="16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23"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115,522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71"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498</w:t>
            </w:r>
          </w:p>
        </w:tc>
        <w:tc>
          <w:tcPr>
            <w:tcW w:w="315" w:type="dxa"/>
            <w:tcBorders/>
            <w:shd w:fill="FFFFFF" w:val="clear"/>
            <w:vAlign w:val="center"/>
          </w:tcPr>
          <w:p>
            <w:pPr>
              <w:pStyle w:val="TableContents"/>
              <w:bidi w:val="0"/>
              <w:spacing w:before="0" w:after="283"/>
              <w:jc w:val="left"/>
              <w:rPr/>
            </w:pPr>
            <w:r>
              <w:rPr/>
              <w:t> </w:t>
            </w:r>
            <w:bookmarkStart w:id="54" w:name="xdx_405_eus-gaap--Assets_i01TI_mtAzP5E_z"/>
            <w:bookmarkEnd w:id="54"/>
          </w:p>
        </w:tc>
      </w:tr>
      <w:tr>
        <w:trPr/>
        <w:tc>
          <w:tcPr>
            <w:tcW w:w="7365" w:type="dxa"/>
            <w:tcBorders/>
            <w:shd w:fill="CCEEFF" w:val="clear"/>
            <w:vAlign w:val="center"/>
          </w:tcPr>
          <w:p>
            <w:pPr>
              <w:pStyle w:val="TableContents"/>
              <w:bidi w:val="0"/>
              <w:spacing w:before="0" w:after="283"/>
              <w:jc w:val="left"/>
              <w:rPr>
                <w:b/>
              </w:rPr>
            </w:pPr>
            <w:r>
              <w:rPr>
                <w:b/>
              </w:rPr>
              <w:t>Total assets</w:t>
            </w:r>
          </w:p>
        </w:tc>
        <w:tc>
          <w:tcPr>
            <w:tcW w:w="60" w:type="dxa"/>
            <w:tcBorders/>
            <w:shd w:fill="CCEEFF" w:val="clear"/>
            <w:vAlign w:val="center"/>
          </w:tcPr>
          <w:p>
            <w:pPr>
              <w:pStyle w:val="TableContents"/>
              <w:bidi w:val="0"/>
              <w:spacing w:before="0" w:after="283"/>
              <w:jc w:val="left"/>
              <w:rPr/>
            </w:pPr>
            <w:r>
              <w:rPr/>
              <w:t> </w:t>
            </w:r>
          </w:p>
        </w:tc>
        <w:tc>
          <w:tcPr>
            <w:tcW w:w="162"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023"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130,514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971"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842</w:t>
            </w:r>
          </w:p>
        </w:tc>
        <w:tc>
          <w:tcPr>
            <w:tcW w:w="315" w:type="dxa"/>
            <w:tcBorders/>
            <w:shd w:fill="CCEEFF" w:val="clear"/>
            <w:vAlign w:val="center"/>
          </w:tcPr>
          <w:p>
            <w:pPr>
              <w:pStyle w:val="TableContents"/>
              <w:bidi w:val="0"/>
              <w:spacing w:before="0" w:after="283"/>
              <w:jc w:val="left"/>
              <w:rPr/>
            </w:pPr>
            <w:r>
              <w:rPr/>
              <w:t> </w:t>
            </w:r>
          </w:p>
        </w:tc>
      </w:tr>
      <w:tr>
        <w:trPr/>
        <w:tc>
          <w:tcPr>
            <w:tcW w:w="73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 </w:t>
            </w:r>
          </w:p>
        </w:tc>
        <w:tc>
          <w:tcPr>
            <w:tcW w:w="1023"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971" w:type="dxa"/>
            <w:tcBorders/>
            <w:shd w:fill="FFFFFF" w:val="clear"/>
            <w:vAlign w:val="center"/>
          </w:tcPr>
          <w:p>
            <w:pPr>
              <w:pStyle w:val="TableContents"/>
              <w:bidi w:val="0"/>
              <w:spacing w:before="0" w:after="283"/>
              <w:jc w:val="right"/>
              <w:rPr/>
            </w:pPr>
            <w:r>
              <w:rPr/>
              <w:t> </w:t>
            </w:r>
          </w:p>
        </w:tc>
        <w:tc>
          <w:tcPr>
            <w:tcW w:w="315" w:type="dxa"/>
            <w:tcBorders/>
            <w:shd w:fill="FFFFFF" w:val="clear"/>
            <w:vAlign w:val="center"/>
          </w:tcPr>
          <w:p>
            <w:pPr>
              <w:pStyle w:val="TableContents"/>
              <w:bidi w:val="0"/>
              <w:spacing w:before="0" w:after="283"/>
              <w:jc w:val="left"/>
              <w:rPr/>
            </w:pPr>
            <w:r>
              <w:rPr/>
              <w:t> </w:t>
            </w:r>
            <w:bookmarkStart w:id="55" w:name="xdx_40E_eus-gaap--LiabilitiesAndStockhol"/>
            <w:bookmarkEnd w:id="55"/>
          </w:p>
        </w:tc>
      </w:tr>
      <w:tr>
        <w:trPr/>
        <w:tc>
          <w:tcPr>
            <w:tcW w:w="7365" w:type="dxa"/>
            <w:tcBorders/>
            <w:shd w:fill="CCEEFF" w:val="clear"/>
            <w:vAlign w:val="center"/>
          </w:tcPr>
          <w:p>
            <w:pPr>
              <w:pStyle w:val="TableContents"/>
              <w:bidi w:val="0"/>
              <w:spacing w:before="0" w:after="283"/>
              <w:jc w:val="center"/>
              <w:rPr>
                <w:b/>
              </w:rPr>
            </w:pPr>
            <w:r>
              <w:rPr>
                <w:b/>
              </w:rPr>
              <w:t>LIABILITIES, MEZZANINE EQUITY AND STOCKHOLDERS’ DEFICIT</w:t>
            </w:r>
          </w:p>
        </w:tc>
        <w:tc>
          <w:tcPr>
            <w:tcW w:w="6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jc w:val="left"/>
              <w:rPr/>
            </w:pPr>
            <w:r>
              <w:rPr/>
              <w:t> </w:t>
            </w:r>
          </w:p>
        </w:tc>
        <w:tc>
          <w:tcPr>
            <w:tcW w:w="1023"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971" w:type="dxa"/>
            <w:tcBorders/>
            <w:shd w:fill="CCEEFF" w:val="clear"/>
            <w:vAlign w:val="center"/>
          </w:tcPr>
          <w:p>
            <w:pPr>
              <w:pStyle w:val="TableContents"/>
              <w:bidi w:val="0"/>
              <w:spacing w:before="0" w:after="283"/>
              <w:jc w:val="right"/>
              <w:rPr/>
            </w:pPr>
            <w:r>
              <w:rPr/>
              <w:t> </w:t>
            </w:r>
          </w:p>
        </w:tc>
        <w:tc>
          <w:tcPr>
            <w:tcW w:w="315" w:type="dxa"/>
            <w:tcBorders/>
            <w:shd w:fill="CCEEFF" w:val="clear"/>
            <w:vAlign w:val="center"/>
          </w:tcPr>
          <w:p>
            <w:pPr>
              <w:pStyle w:val="TableContents"/>
              <w:bidi w:val="0"/>
              <w:spacing w:before="0" w:after="283"/>
              <w:jc w:val="left"/>
              <w:rPr/>
            </w:pPr>
            <w:r>
              <w:rPr/>
              <w:t> </w:t>
            </w:r>
            <w:bookmarkStart w:id="56" w:name="xdx_408_eus-gaap--LiabilitiesAbstract_i0"/>
            <w:bookmarkEnd w:id="56"/>
          </w:p>
        </w:tc>
      </w:tr>
      <w:tr>
        <w:trPr/>
        <w:tc>
          <w:tcPr>
            <w:tcW w:w="7365" w:type="dxa"/>
            <w:tcBorders/>
            <w:shd w:fill="FFFFFF" w:val="clear"/>
            <w:vAlign w:val="center"/>
          </w:tcPr>
          <w:p>
            <w:pPr>
              <w:pStyle w:val="TableContents"/>
              <w:bidi w:val="0"/>
              <w:spacing w:before="0" w:after="283"/>
              <w:jc w:val="left"/>
              <w:rPr>
                <w:b/>
              </w:rPr>
            </w:pPr>
            <w:r>
              <w:rPr>
                <w:b/>
              </w:rPr>
              <w:t>Current liabilities:</w:t>
            </w:r>
          </w:p>
        </w:tc>
        <w:tc>
          <w:tcPr>
            <w:tcW w:w="60"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 </w:t>
            </w:r>
          </w:p>
        </w:tc>
        <w:tc>
          <w:tcPr>
            <w:tcW w:w="1023"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971" w:type="dxa"/>
            <w:tcBorders/>
            <w:shd w:fill="FFFFFF" w:val="clear"/>
            <w:vAlign w:val="center"/>
          </w:tcPr>
          <w:p>
            <w:pPr>
              <w:pStyle w:val="TableContents"/>
              <w:bidi w:val="0"/>
              <w:spacing w:before="0" w:after="283"/>
              <w:jc w:val="right"/>
              <w:rPr/>
            </w:pPr>
            <w:r>
              <w:rPr/>
              <w:t> </w:t>
            </w:r>
          </w:p>
        </w:tc>
        <w:tc>
          <w:tcPr>
            <w:tcW w:w="315" w:type="dxa"/>
            <w:tcBorders/>
            <w:shd w:fill="FFFFFF" w:val="clear"/>
            <w:vAlign w:val="center"/>
          </w:tcPr>
          <w:p>
            <w:pPr>
              <w:pStyle w:val="TableContents"/>
              <w:bidi w:val="0"/>
              <w:spacing w:before="0" w:after="283"/>
              <w:jc w:val="left"/>
              <w:rPr/>
            </w:pPr>
            <w:r>
              <w:rPr/>
              <w:t> </w:t>
            </w:r>
            <w:bookmarkStart w:id="57" w:name="xdx_40E_eus-gaap--AccountsPayableAndAccr"/>
            <w:bookmarkEnd w:id="57"/>
          </w:p>
        </w:tc>
      </w:tr>
      <w:tr>
        <w:trPr/>
        <w:tc>
          <w:tcPr>
            <w:tcW w:w="7365" w:type="dxa"/>
            <w:tcBorders/>
            <w:shd w:fill="CCEEFF" w:val="clear"/>
            <w:vAlign w:val="center"/>
          </w:tcPr>
          <w:p>
            <w:pPr>
              <w:pStyle w:val="TableContents"/>
              <w:bidi w:val="0"/>
              <w:spacing w:before="0" w:after="283"/>
              <w:jc w:val="left"/>
              <w:rPr/>
            </w:pPr>
            <w:r>
              <w:rPr/>
              <w:t>Accounts payable and accrued expenses, including $</w:t>
            </w:r>
            <w:bookmarkStart w:id="58" w:name="xdx_902_eus-gaap--AccountsPayableOtherCu"/>
            <w:bookmarkEnd w:id="58"/>
            <w:r>
              <w:rPr/>
              <w:t>499 and $</w:t>
            </w:r>
            <w:bookmarkStart w:id="59" w:name="xdx_90A_eus-gaap--AccountsPayableOtherCu"/>
            <w:bookmarkEnd w:id="59"/>
            <w:r>
              <w:rPr/>
              <w:t>19 to related parties as of September 30, 2025 and December 31, 2024, respectively</w:t>
            </w:r>
          </w:p>
        </w:tc>
        <w:tc>
          <w:tcPr>
            <w:tcW w:w="6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jc w:val="left"/>
              <w:rPr/>
            </w:pPr>
            <w:r>
              <w:rPr/>
              <w:t>$</w:t>
            </w:r>
          </w:p>
        </w:tc>
        <w:tc>
          <w:tcPr>
            <w:tcW w:w="1023" w:type="dxa"/>
            <w:tcBorders/>
            <w:shd w:fill="CCEEFF" w:val="clear"/>
            <w:vAlign w:val="center"/>
          </w:tcPr>
          <w:p>
            <w:pPr>
              <w:pStyle w:val="TableContents"/>
              <w:bidi w:val="0"/>
              <w:spacing w:before="0" w:after="283"/>
              <w:jc w:val="right"/>
              <w:rPr/>
            </w:pPr>
            <w:r>
              <w:rPr/>
              <w:t>9,771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w:t>
            </w:r>
          </w:p>
        </w:tc>
        <w:tc>
          <w:tcPr>
            <w:tcW w:w="971" w:type="dxa"/>
            <w:tcBorders/>
            <w:shd w:fill="CCEEFF" w:val="clear"/>
            <w:vAlign w:val="center"/>
          </w:tcPr>
          <w:p>
            <w:pPr>
              <w:pStyle w:val="TableContents"/>
              <w:bidi w:val="0"/>
              <w:spacing w:before="0" w:after="283"/>
              <w:jc w:val="right"/>
              <w:rPr/>
            </w:pPr>
            <w:r>
              <w:rPr/>
              <w:t>2,052</w:t>
            </w:r>
          </w:p>
        </w:tc>
        <w:tc>
          <w:tcPr>
            <w:tcW w:w="315" w:type="dxa"/>
            <w:tcBorders/>
            <w:shd w:fill="CCEEFF" w:val="clear"/>
            <w:vAlign w:val="center"/>
          </w:tcPr>
          <w:p>
            <w:pPr>
              <w:pStyle w:val="TableContents"/>
              <w:bidi w:val="0"/>
              <w:spacing w:before="0" w:after="283"/>
              <w:jc w:val="left"/>
              <w:rPr/>
            </w:pPr>
            <w:r>
              <w:rPr/>
              <w:t> </w:t>
            </w:r>
            <w:bookmarkStart w:id="60" w:name="xdx_406_eus-gaap--DerivativeLiabilitiesC"/>
            <w:bookmarkEnd w:id="60"/>
          </w:p>
        </w:tc>
      </w:tr>
      <w:tr>
        <w:trPr/>
        <w:tc>
          <w:tcPr>
            <w:tcW w:w="7365" w:type="dxa"/>
            <w:tcBorders/>
            <w:shd w:fill="FFFFFF" w:val="clear"/>
            <w:vAlign w:val="center"/>
          </w:tcPr>
          <w:p>
            <w:pPr>
              <w:pStyle w:val="TableContents"/>
              <w:bidi w:val="0"/>
              <w:spacing w:before="0" w:after="283"/>
              <w:jc w:val="left"/>
              <w:rPr/>
            </w:pPr>
            <w:r>
              <w:rPr/>
              <w:t>Derivative liability</w:t>
            </w:r>
          </w:p>
        </w:tc>
        <w:tc>
          <w:tcPr>
            <w:tcW w:w="60"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 </w:t>
            </w:r>
          </w:p>
        </w:tc>
        <w:tc>
          <w:tcPr>
            <w:tcW w:w="1023" w:type="dxa"/>
            <w:tcBorders/>
            <w:shd w:fill="FFFFFF" w:val="clear"/>
            <w:vAlign w:val="center"/>
          </w:tcPr>
          <w:p>
            <w:pPr>
              <w:pStyle w:val="TableContents"/>
              <w:bidi w:val="0"/>
              <w:spacing w:before="0" w:after="283"/>
              <w:jc w:val="right"/>
              <w:rPr/>
            </w:pPr>
            <w:r>
              <w:rPr/>
              <w:t>115,712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971" w:type="dxa"/>
            <w:tcBorders/>
            <w:shd w:fill="FFFFFF" w:val="clear"/>
            <w:vAlign w:val="center"/>
          </w:tcPr>
          <w:p>
            <w:pPr>
              <w:pStyle w:val="TableContents"/>
              <w:bidi w:val="0"/>
              <w:spacing w:before="0" w:after="283"/>
              <w:jc w:val="right"/>
              <w:rPr/>
            </w:pPr>
            <w:r>
              <w:rPr/>
              <w:t>-</w:t>
            </w:r>
          </w:p>
        </w:tc>
        <w:tc>
          <w:tcPr>
            <w:tcW w:w="315" w:type="dxa"/>
            <w:tcBorders/>
            <w:shd w:fill="FFFFFF" w:val="clear"/>
            <w:vAlign w:val="center"/>
          </w:tcPr>
          <w:p>
            <w:pPr>
              <w:pStyle w:val="TableContents"/>
              <w:bidi w:val="0"/>
              <w:spacing w:before="0" w:after="283"/>
              <w:jc w:val="left"/>
              <w:rPr/>
            </w:pPr>
            <w:r>
              <w:rPr/>
              <w:t> </w:t>
            </w:r>
            <w:bookmarkStart w:id="61" w:name="xdx_401_eus-gaap--DividendsPayableCurren"/>
            <w:bookmarkEnd w:id="61"/>
          </w:p>
        </w:tc>
      </w:tr>
      <w:tr>
        <w:trPr/>
        <w:tc>
          <w:tcPr>
            <w:tcW w:w="7365" w:type="dxa"/>
            <w:tcBorders/>
            <w:shd w:fill="CCEEFF" w:val="clear"/>
            <w:vAlign w:val="center"/>
          </w:tcPr>
          <w:p>
            <w:pPr>
              <w:pStyle w:val="TableContents"/>
              <w:bidi w:val="0"/>
              <w:spacing w:before="0" w:after="283"/>
              <w:jc w:val="left"/>
              <w:rPr/>
            </w:pPr>
            <w:r>
              <w:rPr/>
              <w:t>Dividends payable</w:t>
            </w:r>
          </w:p>
        </w:tc>
        <w:tc>
          <w:tcPr>
            <w:tcW w:w="6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jc w:val="left"/>
              <w:rPr/>
            </w:pPr>
            <w:r>
              <w:rPr/>
              <w:t> </w:t>
            </w:r>
          </w:p>
        </w:tc>
        <w:tc>
          <w:tcPr>
            <w:tcW w:w="1023" w:type="dxa"/>
            <w:tcBorders/>
            <w:shd w:fill="CCEEFF" w:val="clear"/>
            <w:vAlign w:val="center"/>
          </w:tcPr>
          <w:p>
            <w:pPr>
              <w:pStyle w:val="TableContents"/>
              <w:bidi w:val="0"/>
              <w:spacing w:before="0" w:after="283"/>
              <w:jc w:val="right"/>
              <w:rPr/>
            </w:pPr>
            <w:r>
              <w:rPr/>
              <w:t>117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971" w:type="dxa"/>
            <w:tcBorders/>
            <w:shd w:fill="CCEEFF" w:val="clear"/>
            <w:vAlign w:val="center"/>
          </w:tcPr>
          <w:p>
            <w:pPr>
              <w:pStyle w:val="TableContents"/>
              <w:bidi w:val="0"/>
              <w:spacing w:before="0" w:after="283"/>
              <w:jc w:val="right"/>
              <w:rPr/>
            </w:pPr>
            <w:r>
              <w:rPr/>
              <w:t>110</w:t>
            </w:r>
          </w:p>
        </w:tc>
        <w:tc>
          <w:tcPr>
            <w:tcW w:w="315" w:type="dxa"/>
            <w:tcBorders/>
            <w:shd w:fill="CCEEFF" w:val="clear"/>
            <w:vAlign w:val="center"/>
          </w:tcPr>
          <w:p>
            <w:pPr>
              <w:pStyle w:val="TableContents"/>
              <w:bidi w:val="0"/>
              <w:spacing w:before="0" w:after="283"/>
              <w:jc w:val="left"/>
              <w:rPr/>
            </w:pPr>
            <w:r>
              <w:rPr/>
              <w:t> </w:t>
            </w:r>
            <w:bookmarkStart w:id="62" w:name="xdx_40A_eus-gaap--OperatingLeaseLiabilit"/>
            <w:bookmarkEnd w:id="62"/>
          </w:p>
        </w:tc>
      </w:tr>
      <w:tr>
        <w:trPr/>
        <w:tc>
          <w:tcPr>
            <w:tcW w:w="7365" w:type="dxa"/>
            <w:tcBorders/>
            <w:shd w:fill="FFFFFF" w:val="clear"/>
            <w:vAlign w:val="center"/>
          </w:tcPr>
          <w:p>
            <w:pPr>
              <w:pStyle w:val="TableContents"/>
              <w:bidi w:val="0"/>
              <w:spacing w:before="0" w:after="283"/>
              <w:jc w:val="left"/>
              <w:rPr/>
            </w:pPr>
            <w:r>
              <w:rPr/>
              <w:t>Lease liability, short term</w:t>
            </w:r>
          </w:p>
        </w:tc>
        <w:tc>
          <w:tcPr>
            <w:tcW w:w="60" w:type="dxa"/>
            <w:tcBorders/>
            <w:shd w:fill="FFFFFF" w:val="clear"/>
            <w:vAlign w:val="center"/>
          </w:tcPr>
          <w:p>
            <w:pPr>
              <w:pStyle w:val="TableContents"/>
              <w:bidi w:val="0"/>
              <w:spacing w:before="0" w:after="283"/>
              <w:jc w:val="left"/>
              <w:rPr/>
            </w:pPr>
            <w:r>
              <w:rPr/>
              <w:t> </w:t>
            </w:r>
          </w:p>
        </w:tc>
        <w:tc>
          <w:tcPr>
            <w:tcW w:w="16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23"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71" w:type="dxa"/>
            <w:tcBorders>
              <w:bottom w:val="single" w:sz="8" w:space="0" w:color="000000"/>
            </w:tcBorders>
            <w:shd w:fill="FFFFFF" w:val="clear"/>
            <w:tcMar>
              <w:bottom w:w="28" w:type="dxa"/>
            </w:tcMar>
            <w:vAlign w:val="center"/>
          </w:tcPr>
          <w:p>
            <w:pPr>
              <w:pStyle w:val="TableContents"/>
              <w:bidi w:val="0"/>
              <w:spacing w:before="0" w:after="283"/>
              <w:jc w:val="right"/>
              <w:rPr/>
            </w:pPr>
            <w:r>
              <w:rPr/>
              <w:t>102</w:t>
            </w:r>
          </w:p>
        </w:tc>
        <w:tc>
          <w:tcPr>
            <w:tcW w:w="315" w:type="dxa"/>
            <w:tcBorders/>
            <w:shd w:fill="FFFFFF" w:val="clear"/>
            <w:vAlign w:val="center"/>
          </w:tcPr>
          <w:p>
            <w:pPr>
              <w:pStyle w:val="TableContents"/>
              <w:bidi w:val="0"/>
              <w:spacing w:before="0" w:after="283"/>
              <w:jc w:val="left"/>
              <w:rPr/>
            </w:pPr>
            <w:r>
              <w:rPr/>
              <w:t> </w:t>
            </w:r>
            <w:bookmarkStart w:id="63" w:name="xdx_406_eus-gaap--LiabilitiesCurrent_i02"/>
            <w:bookmarkEnd w:id="63"/>
          </w:p>
        </w:tc>
      </w:tr>
      <w:tr>
        <w:trPr/>
        <w:tc>
          <w:tcPr>
            <w:tcW w:w="7365" w:type="dxa"/>
            <w:tcBorders/>
            <w:shd w:fill="CCEEFF" w:val="clear"/>
            <w:vAlign w:val="center"/>
          </w:tcPr>
          <w:p>
            <w:pPr>
              <w:pStyle w:val="TableContents"/>
              <w:bidi w:val="0"/>
              <w:spacing w:before="0" w:after="283"/>
              <w:jc w:val="left"/>
              <w:rPr>
                <w:b/>
              </w:rPr>
            </w:pPr>
            <w:r>
              <w:rPr>
                <w:b/>
              </w:rPr>
              <w:t>Total current liabilities</w:t>
            </w:r>
          </w:p>
        </w:tc>
        <w:tc>
          <w:tcPr>
            <w:tcW w:w="6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jc w:val="left"/>
              <w:rPr/>
            </w:pPr>
            <w:r>
              <w:rPr/>
              <w:t> </w:t>
            </w:r>
          </w:p>
        </w:tc>
        <w:tc>
          <w:tcPr>
            <w:tcW w:w="1023" w:type="dxa"/>
            <w:tcBorders/>
            <w:shd w:fill="CCEEFF" w:val="clear"/>
            <w:vAlign w:val="center"/>
          </w:tcPr>
          <w:p>
            <w:pPr>
              <w:pStyle w:val="TableContents"/>
              <w:bidi w:val="0"/>
              <w:spacing w:before="0" w:after="283"/>
              <w:jc w:val="right"/>
              <w:rPr>
                <w:b/>
              </w:rPr>
            </w:pPr>
            <w:r>
              <w:rPr>
                <w:b/>
              </w:rPr>
              <w:t>125,600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971" w:type="dxa"/>
            <w:tcBorders/>
            <w:shd w:fill="CCEEFF" w:val="clear"/>
            <w:vAlign w:val="center"/>
          </w:tcPr>
          <w:p>
            <w:pPr>
              <w:pStyle w:val="TableContents"/>
              <w:bidi w:val="0"/>
              <w:spacing w:before="0" w:after="283"/>
              <w:jc w:val="right"/>
              <w:rPr>
                <w:b/>
              </w:rPr>
            </w:pPr>
            <w:r>
              <w:rPr>
                <w:b/>
              </w:rPr>
              <w:t>2,264</w:t>
            </w:r>
          </w:p>
        </w:tc>
        <w:tc>
          <w:tcPr>
            <w:tcW w:w="315" w:type="dxa"/>
            <w:tcBorders/>
            <w:shd w:fill="CCEEFF" w:val="clear"/>
            <w:vAlign w:val="center"/>
          </w:tcPr>
          <w:p>
            <w:pPr>
              <w:pStyle w:val="TableContents"/>
              <w:bidi w:val="0"/>
              <w:spacing w:before="0" w:after="283"/>
              <w:jc w:val="left"/>
              <w:rPr/>
            </w:pPr>
            <w:r>
              <w:rPr/>
              <w:t> </w:t>
            </w:r>
            <w:bookmarkStart w:id="64" w:name="xdx_40D_eus-gaap--DeferredIncomeTaxLiabi"/>
            <w:bookmarkEnd w:id="64"/>
          </w:p>
        </w:tc>
      </w:tr>
      <w:tr>
        <w:trPr/>
        <w:tc>
          <w:tcPr>
            <w:tcW w:w="7365" w:type="dxa"/>
            <w:tcBorders/>
            <w:shd w:fill="FFFFFF" w:val="clear"/>
            <w:vAlign w:val="center"/>
          </w:tcPr>
          <w:p>
            <w:pPr>
              <w:pStyle w:val="TableContents"/>
              <w:bidi w:val="0"/>
              <w:spacing w:before="0" w:after="283"/>
              <w:jc w:val="left"/>
              <w:rPr/>
            </w:pPr>
            <w:r>
              <w:rPr/>
              <w:t>Deferred tax liability</w:t>
            </w:r>
          </w:p>
        </w:tc>
        <w:tc>
          <w:tcPr>
            <w:tcW w:w="60" w:type="dxa"/>
            <w:tcBorders/>
            <w:shd w:fill="FFFFFF" w:val="clear"/>
            <w:vAlign w:val="center"/>
          </w:tcPr>
          <w:p>
            <w:pPr>
              <w:pStyle w:val="TableContents"/>
              <w:bidi w:val="0"/>
              <w:spacing w:before="0" w:after="283"/>
              <w:jc w:val="left"/>
              <w:rPr/>
            </w:pPr>
            <w:r>
              <w:rPr/>
              <w:t> </w:t>
            </w:r>
          </w:p>
        </w:tc>
        <w:tc>
          <w:tcPr>
            <w:tcW w:w="16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23" w:type="dxa"/>
            <w:tcBorders>
              <w:bottom w:val="single" w:sz="8" w:space="0" w:color="000000"/>
            </w:tcBorders>
            <w:shd w:fill="FFFFFF" w:val="clear"/>
            <w:tcMar>
              <w:bottom w:w="28" w:type="dxa"/>
            </w:tcMar>
            <w:vAlign w:val="center"/>
          </w:tcPr>
          <w:p>
            <w:pPr>
              <w:pStyle w:val="TableContents"/>
              <w:bidi w:val="0"/>
              <w:spacing w:before="0" w:after="283"/>
              <w:jc w:val="right"/>
              <w:rPr/>
            </w:pPr>
            <w:r>
              <w:rPr/>
              <w:t>11,735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71"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315" w:type="dxa"/>
            <w:tcBorders/>
            <w:shd w:fill="FFFFFF" w:val="clear"/>
            <w:vAlign w:val="center"/>
          </w:tcPr>
          <w:p>
            <w:pPr>
              <w:pStyle w:val="TableContents"/>
              <w:bidi w:val="0"/>
              <w:spacing w:before="0" w:after="283"/>
              <w:jc w:val="left"/>
              <w:rPr/>
            </w:pPr>
            <w:r>
              <w:rPr/>
              <w:t> </w:t>
            </w:r>
            <w:bookmarkStart w:id="65" w:name="xdx_406_eus-gaap--Liabilities_i01TI_maLA"/>
            <w:bookmarkEnd w:id="65"/>
          </w:p>
        </w:tc>
      </w:tr>
      <w:tr>
        <w:trPr/>
        <w:tc>
          <w:tcPr>
            <w:tcW w:w="7365" w:type="dxa"/>
            <w:tcBorders/>
            <w:shd w:fill="CCEEFF" w:val="clear"/>
            <w:vAlign w:val="center"/>
          </w:tcPr>
          <w:p>
            <w:pPr>
              <w:pStyle w:val="TableContents"/>
              <w:bidi w:val="0"/>
              <w:spacing w:before="0" w:after="283"/>
              <w:jc w:val="left"/>
              <w:rPr>
                <w:b/>
              </w:rPr>
            </w:pPr>
            <w:r>
              <w:rPr>
                <w:b/>
              </w:rPr>
              <w:t>Total liabilities</w:t>
            </w:r>
          </w:p>
        </w:tc>
        <w:tc>
          <w:tcPr>
            <w:tcW w:w="6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jc w:val="left"/>
              <w:rPr/>
            </w:pPr>
            <w:r>
              <w:rPr/>
              <w:t> </w:t>
            </w:r>
          </w:p>
        </w:tc>
        <w:tc>
          <w:tcPr>
            <w:tcW w:w="1023" w:type="dxa"/>
            <w:tcBorders/>
            <w:shd w:fill="CCEEFF" w:val="clear"/>
            <w:vAlign w:val="center"/>
          </w:tcPr>
          <w:p>
            <w:pPr>
              <w:pStyle w:val="TableContents"/>
              <w:bidi w:val="0"/>
              <w:spacing w:before="0" w:after="283"/>
              <w:jc w:val="right"/>
              <w:rPr>
                <w:b/>
              </w:rPr>
            </w:pPr>
            <w:r>
              <w:rPr>
                <w:b/>
              </w:rPr>
              <w:t>137,335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971" w:type="dxa"/>
            <w:tcBorders/>
            <w:shd w:fill="CCEEFF" w:val="clear"/>
            <w:vAlign w:val="center"/>
          </w:tcPr>
          <w:p>
            <w:pPr>
              <w:pStyle w:val="TableContents"/>
              <w:bidi w:val="0"/>
              <w:spacing w:before="0" w:after="283"/>
              <w:jc w:val="right"/>
              <w:rPr>
                <w:b/>
              </w:rPr>
            </w:pPr>
            <w:r>
              <w:rPr>
                <w:b/>
              </w:rPr>
              <w:t>2,264</w:t>
            </w:r>
          </w:p>
        </w:tc>
        <w:tc>
          <w:tcPr>
            <w:tcW w:w="315" w:type="dxa"/>
            <w:tcBorders/>
            <w:shd w:fill="CCEEFF" w:val="clear"/>
            <w:vAlign w:val="center"/>
          </w:tcPr>
          <w:p>
            <w:pPr>
              <w:pStyle w:val="TableContents"/>
              <w:bidi w:val="0"/>
              <w:spacing w:before="0" w:after="283"/>
              <w:jc w:val="left"/>
              <w:rPr/>
            </w:pPr>
            <w:r>
              <w:rPr/>
              <w:t> </w:t>
            </w:r>
          </w:p>
        </w:tc>
      </w:tr>
      <w:tr>
        <w:trPr/>
        <w:tc>
          <w:tcPr>
            <w:tcW w:w="73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 </w:t>
            </w:r>
          </w:p>
        </w:tc>
        <w:tc>
          <w:tcPr>
            <w:tcW w:w="1023"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971" w:type="dxa"/>
            <w:tcBorders/>
            <w:shd w:fill="FFFFFF" w:val="clear"/>
            <w:vAlign w:val="center"/>
          </w:tcPr>
          <w:p>
            <w:pPr>
              <w:pStyle w:val="TableContents"/>
              <w:bidi w:val="0"/>
              <w:spacing w:before="0" w:after="283"/>
              <w:jc w:val="right"/>
              <w:rPr/>
            </w:pPr>
            <w:r>
              <w:rPr/>
              <w:t> </w:t>
            </w:r>
          </w:p>
        </w:tc>
        <w:tc>
          <w:tcPr>
            <w:tcW w:w="315" w:type="dxa"/>
            <w:tcBorders/>
            <w:shd w:fill="FFFFFF" w:val="clear"/>
            <w:vAlign w:val="center"/>
          </w:tcPr>
          <w:p>
            <w:pPr>
              <w:pStyle w:val="TableContents"/>
              <w:bidi w:val="0"/>
              <w:spacing w:before="0" w:after="283"/>
              <w:jc w:val="left"/>
              <w:rPr/>
            </w:pPr>
            <w:r>
              <w:rPr/>
              <w:t> </w:t>
            </w:r>
            <w:bookmarkStart w:id="66" w:name="xdx_405_eus-gaap--CommitmentsAndContinge"/>
            <w:bookmarkEnd w:id="66"/>
          </w:p>
        </w:tc>
      </w:tr>
      <w:tr>
        <w:trPr/>
        <w:tc>
          <w:tcPr>
            <w:tcW w:w="7365" w:type="dxa"/>
            <w:tcBorders/>
            <w:shd w:fill="CCEEFF" w:val="clear"/>
            <w:vAlign w:val="center"/>
          </w:tcPr>
          <w:p>
            <w:pPr>
              <w:pStyle w:val="TableContents"/>
              <w:bidi w:val="0"/>
              <w:spacing w:before="0" w:after="283"/>
              <w:jc w:val="left"/>
              <w:rPr/>
            </w:pPr>
            <w:r>
              <w:rPr/>
              <w:t>Commitments and contingencies (Note 12)</w:t>
            </w:r>
          </w:p>
        </w:tc>
        <w:tc>
          <w:tcPr>
            <w:tcW w:w="6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jc w:val="left"/>
              <w:rPr/>
            </w:pPr>
            <w:r>
              <w:rPr/>
              <w:t> </w:t>
            </w:r>
          </w:p>
        </w:tc>
        <w:tc>
          <w:tcPr>
            <w:tcW w:w="1023"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971"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315" w:type="dxa"/>
            <w:tcBorders/>
            <w:shd w:fill="CCEEFF" w:val="clear"/>
            <w:vAlign w:val="center"/>
          </w:tcPr>
          <w:p>
            <w:pPr>
              <w:pStyle w:val="TableContents"/>
              <w:bidi w:val="0"/>
              <w:spacing w:before="0" w:after="283"/>
              <w:jc w:val="left"/>
              <w:rPr/>
            </w:pPr>
            <w:r>
              <w:rPr/>
              <w:t> </w:t>
            </w:r>
          </w:p>
        </w:tc>
      </w:tr>
      <w:tr>
        <w:trPr/>
        <w:tc>
          <w:tcPr>
            <w:tcW w:w="73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 </w:t>
            </w:r>
          </w:p>
        </w:tc>
        <w:tc>
          <w:tcPr>
            <w:tcW w:w="1023"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971" w:type="dxa"/>
            <w:tcBorders/>
            <w:shd w:fill="FFFFFF" w:val="clear"/>
            <w:vAlign w:val="center"/>
          </w:tcPr>
          <w:p>
            <w:pPr>
              <w:pStyle w:val="TableContents"/>
              <w:bidi w:val="0"/>
              <w:spacing w:before="0" w:after="283"/>
              <w:jc w:val="right"/>
              <w:rPr/>
            </w:pPr>
            <w:r>
              <w:rPr/>
              <w:t> </w:t>
            </w:r>
          </w:p>
        </w:tc>
        <w:tc>
          <w:tcPr>
            <w:tcW w:w="315" w:type="dxa"/>
            <w:tcBorders/>
            <w:shd w:fill="FFFFFF" w:val="clear"/>
            <w:vAlign w:val="center"/>
          </w:tcPr>
          <w:p>
            <w:pPr>
              <w:pStyle w:val="TableContents"/>
              <w:bidi w:val="0"/>
              <w:spacing w:before="0" w:after="283"/>
              <w:jc w:val="left"/>
              <w:rPr/>
            </w:pPr>
            <w:r>
              <w:rPr/>
              <w:t> </w:t>
            </w:r>
            <w:bookmarkStart w:id="67" w:name="xdx_406_eus-gaap--TemporaryEquityAbstrac"/>
            <w:bookmarkEnd w:id="67"/>
          </w:p>
        </w:tc>
      </w:tr>
      <w:tr>
        <w:trPr/>
        <w:tc>
          <w:tcPr>
            <w:tcW w:w="7365" w:type="dxa"/>
            <w:tcBorders/>
            <w:shd w:fill="CCEEFF" w:val="clear"/>
            <w:vAlign w:val="center"/>
          </w:tcPr>
          <w:p>
            <w:pPr>
              <w:pStyle w:val="TableContents"/>
              <w:bidi w:val="0"/>
              <w:spacing w:before="0" w:after="283"/>
              <w:jc w:val="left"/>
              <w:rPr>
                <w:b/>
              </w:rPr>
            </w:pPr>
            <w:r>
              <w:rPr>
                <w:b/>
              </w:rPr>
              <w:t>Mezzanine Equity</w:t>
            </w:r>
          </w:p>
        </w:tc>
        <w:tc>
          <w:tcPr>
            <w:tcW w:w="6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jc w:val="left"/>
              <w:rPr/>
            </w:pPr>
            <w:r>
              <w:rPr/>
              <w:t> </w:t>
            </w:r>
          </w:p>
        </w:tc>
        <w:tc>
          <w:tcPr>
            <w:tcW w:w="1023"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971" w:type="dxa"/>
            <w:tcBorders/>
            <w:shd w:fill="CCEEFF" w:val="clear"/>
            <w:vAlign w:val="center"/>
          </w:tcPr>
          <w:p>
            <w:pPr>
              <w:pStyle w:val="TableContents"/>
              <w:bidi w:val="0"/>
              <w:spacing w:before="0" w:after="283"/>
              <w:jc w:val="right"/>
              <w:rPr/>
            </w:pPr>
            <w:r>
              <w:rPr/>
              <w:t> </w:t>
            </w:r>
          </w:p>
        </w:tc>
        <w:tc>
          <w:tcPr>
            <w:tcW w:w="315" w:type="dxa"/>
            <w:tcBorders/>
            <w:shd w:fill="CCEEFF" w:val="clear"/>
            <w:vAlign w:val="center"/>
          </w:tcPr>
          <w:p>
            <w:pPr>
              <w:pStyle w:val="TableContents"/>
              <w:bidi w:val="0"/>
              <w:spacing w:before="0" w:after="283"/>
              <w:jc w:val="left"/>
              <w:rPr/>
            </w:pPr>
            <w:r>
              <w:rPr/>
              <w:t> </w:t>
            </w:r>
            <w:bookmarkStart w:id="68" w:name="xdx_400_eus-gaap--TemporaryEquityCarryin"/>
            <w:bookmarkEnd w:id="68"/>
          </w:p>
        </w:tc>
      </w:tr>
      <w:tr>
        <w:trPr/>
        <w:tc>
          <w:tcPr>
            <w:tcW w:w="7365" w:type="dxa"/>
            <w:tcBorders/>
            <w:shd w:fill="FFFFFF" w:val="clear"/>
            <w:vAlign w:val="center"/>
          </w:tcPr>
          <w:p>
            <w:pPr>
              <w:pStyle w:val="TableContents"/>
              <w:bidi w:val="0"/>
              <w:spacing w:before="0" w:after="283"/>
              <w:jc w:val="left"/>
              <w:rPr/>
            </w:pPr>
            <w:r>
              <w:rPr/>
              <w:t>Redeemable Series C 9% Convertible Preferred Stock, $</w:t>
            </w:r>
            <w:bookmarkStart w:id="69" w:name="xdx_901_eus-gaap--TemporaryEquityParOrSt"/>
            <w:bookmarkStart w:id="70" w:name="xdx_909_eus-gaap--TemporaryEquityParOrSt"/>
            <w:bookmarkEnd w:id="69"/>
            <w:bookmarkEnd w:id="70"/>
            <w:r>
              <w:rPr/>
              <w:t>0.001 par value, $</w:t>
            </w:r>
            <w:bookmarkStart w:id="71" w:name="xdx_908_eus-gaap--TemporaryEquityValueEx"/>
            <w:bookmarkStart w:id="72" w:name="xdx_90C_eus-gaap--TemporaryEquityValueEx"/>
            <w:bookmarkEnd w:id="71"/>
            <w:bookmarkEnd w:id="72"/>
            <w:r>
              <w:rPr/>
              <w:t>1,000 stated value, authorized</w:t>
            </w:r>
            <w:bookmarkStart w:id="73" w:name="xdx_906_eus-gaap--TemporaryEquitySharesA"/>
            <w:bookmarkEnd w:id="73"/>
            <w:r>
              <w:rPr/>
              <w:t xml:space="preserve"> </w:t>
            </w:r>
            <w:bookmarkStart w:id="74" w:name="xdx_90C_eus-gaap--TemporaryEquitySharesA"/>
            <w:bookmarkEnd w:id="74"/>
            <w:r>
              <w:rPr/>
              <w:t xml:space="preserve">4,200 shares, </w:t>
            </w:r>
            <w:bookmarkStart w:id="75" w:name="xdx_90D_eus-gaap--TemporaryEquitySharesO"/>
            <w:bookmarkStart w:id="76" w:name="xdx_901_eus-gaap--TemporaryEquitySharesI"/>
            <w:bookmarkStart w:id="77" w:name="xdx_90F_eus-gaap--TemporaryEquitySharesO"/>
            <w:bookmarkStart w:id="78" w:name="xdx_908_eus-gaap--TemporaryEquitySharesI"/>
            <w:bookmarkEnd w:id="75"/>
            <w:bookmarkEnd w:id="76"/>
            <w:bookmarkEnd w:id="77"/>
            <w:bookmarkEnd w:id="78"/>
            <w:r>
              <w:rPr/>
              <w:t>105 shares issued and outstanding; (liquidation preference of $</w:t>
            </w:r>
            <w:bookmarkStart w:id="79" w:name="xdx_904_eus-gaap--TemporaryEquityLiquida"/>
            <w:bookmarkStart w:id="80" w:name="xdx_90F_eus-gaap--TemporaryEquityLiquida"/>
            <w:bookmarkEnd w:id="79"/>
            <w:bookmarkEnd w:id="80"/>
            <w:r>
              <w:rPr/>
              <w:t>105; cumulative dividends payable of $</w:t>
            </w:r>
            <w:bookmarkStart w:id="81" w:name="xdx_90D_eus-gaap--CumulativeDividends_iI"/>
            <w:bookmarkEnd w:id="81"/>
            <w:r>
              <w:rPr/>
              <w:t>117 and $</w:t>
            </w:r>
            <w:bookmarkStart w:id="82" w:name="xdx_907_eus-gaap--CumulativeDividends_iI"/>
            <w:bookmarkEnd w:id="82"/>
            <w:r>
              <w:rPr/>
              <w:t>110 as of September 30, 2025 and December 31, 2024, respectively)</w:t>
            </w:r>
          </w:p>
        </w:tc>
        <w:tc>
          <w:tcPr>
            <w:tcW w:w="60"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 </w:t>
            </w:r>
          </w:p>
        </w:tc>
        <w:tc>
          <w:tcPr>
            <w:tcW w:w="1023" w:type="dxa"/>
            <w:tcBorders/>
            <w:shd w:fill="FFFFFF" w:val="clear"/>
            <w:vAlign w:val="center"/>
          </w:tcPr>
          <w:p>
            <w:pPr>
              <w:pStyle w:val="TableContents"/>
              <w:bidi w:val="0"/>
              <w:spacing w:before="0" w:after="283"/>
              <w:jc w:val="right"/>
              <w:rPr/>
            </w:pPr>
            <w:r>
              <w:rPr/>
              <w:t>105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971" w:type="dxa"/>
            <w:tcBorders/>
            <w:shd w:fill="FFFFFF" w:val="clear"/>
            <w:vAlign w:val="center"/>
          </w:tcPr>
          <w:p>
            <w:pPr>
              <w:pStyle w:val="TableContents"/>
              <w:bidi w:val="0"/>
              <w:spacing w:before="0" w:after="283"/>
              <w:jc w:val="right"/>
              <w:rPr/>
            </w:pPr>
            <w:r>
              <w:rPr/>
              <w:t>105</w:t>
            </w:r>
          </w:p>
        </w:tc>
        <w:tc>
          <w:tcPr>
            <w:tcW w:w="315" w:type="dxa"/>
            <w:tcBorders/>
            <w:shd w:fill="FFFFFF" w:val="clear"/>
            <w:vAlign w:val="center"/>
          </w:tcPr>
          <w:p>
            <w:pPr>
              <w:pStyle w:val="TableContents"/>
              <w:bidi w:val="0"/>
              <w:spacing w:before="0" w:after="283"/>
              <w:jc w:val="left"/>
              <w:rPr/>
            </w:pPr>
            <w:r>
              <w:rPr/>
              <w:t> </w:t>
            </w:r>
          </w:p>
        </w:tc>
      </w:tr>
      <w:tr>
        <w:trPr/>
        <w:tc>
          <w:tcPr>
            <w:tcW w:w="73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jc w:val="left"/>
              <w:rPr/>
            </w:pPr>
            <w:r>
              <w:rPr/>
              <w:t> </w:t>
            </w:r>
          </w:p>
        </w:tc>
        <w:tc>
          <w:tcPr>
            <w:tcW w:w="1023"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971" w:type="dxa"/>
            <w:tcBorders/>
            <w:shd w:fill="CCEEFF" w:val="clear"/>
            <w:vAlign w:val="center"/>
          </w:tcPr>
          <w:p>
            <w:pPr>
              <w:pStyle w:val="TableContents"/>
              <w:bidi w:val="0"/>
              <w:spacing w:before="0" w:after="283"/>
              <w:jc w:val="right"/>
              <w:rPr/>
            </w:pPr>
            <w:r>
              <w:rPr/>
              <w:t> </w:t>
            </w:r>
          </w:p>
        </w:tc>
        <w:tc>
          <w:tcPr>
            <w:tcW w:w="315" w:type="dxa"/>
            <w:tcBorders/>
            <w:shd w:fill="CCEEFF" w:val="clear"/>
            <w:vAlign w:val="center"/>
          </w:tcPr>
          <w:p>
            <w:pPr>
              <w:pStyle w:val="TableContents"/>
              <w:bidi w:val="0"/>
              <w:spacing w:before="0" w:after="283"/>
              <w:jc w:val="left"/>
              <w:rPr/>
            </w:pPr>
            <w:r>
              <w:rPr/>
              <w:t> </w:t>
            </w:r>
            <w:bookmarkStart w:id="83" w:name="xdx_408_eus-gaap--StockholdersEquityAbst"/>
            <w:bookmarkEnd w:id="83"/>
          </w:p>
        </w:tc>
      </w:tr>
      <w:tr>
        <w:trPr/>
        <w:tc>
          <w:tcPr>
            <w:tcW w:w="7365" w:type="dxa"/>
            <w:tcBorders/>
            <w:shd w:fill="FFFFFF" w:val="clear"/>
            <w:vAlign w:val="center"/>
          </w:tcPr>
          <w:p>
            <w:pPr>
              <w:pStyle w:val="TableContents"/>
              <w:bidi w:val="0"/>
              <w:spacing w:before="0" w:after="283"/>
              <w:jc w:val="left"/>
              <w:rPr>
                <w:b/>
              </w:rPr>
            </w:pPr>
            <w:r>
              <w:rPr>
                <w:b/>
              </w:rPr>
              <w:t>Stockholders’ deficit:</w:t>
            </w:r>
          </w:p>
        </w:tc>
        <w:tc>
          <w:tcPr>
            <w:tcW w:w="60"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 </w:t>
            </w:r>
          </w:p>
        </w:tc>
        <w:tc>
          <w:tcPr>
            <w:tcW w:w="1023"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971" w:type="dxa"/>
            <w:tcBorders/>
            <w:shd w:fill="FFFFFF" w:val="clear"/>
            <w:vAlign w:val="center"/>
          </w:tcPr>
          <w:p>
            <w:pPr>
              <w:pStyle w:val="TableContents"/>
              <w:bidi w:val="0"/>
              <w:spacing w:before="0" w:after="283"/>
              <w:jc w:val="right"/>
              <w:rPr/>
            </w:pPr>
            <w:r>
              <w:rPr/>
              <w:t> </w:t>
            </w:r>
          </w:p>
        </w:tc>
        <w:tc>
          <w:tcPr>
            <w:tcW w:w="315" w:type="dxa"/>
            <w:tcBorders/>
            <w:shd w:fill="FFFFFF" w:val="clear"/>
            <w:vAlign w:val="center"/>
          </w:tcPr>
          <w:p>
            <w:pPr>
              <w:pStyle w:val="TableContents"/>
              <w:bidi w:val="0"/>
              <w:spacing w:before="0" w:after="283"/>
              <w:jc w:val="left"/>
              <w:rPr/>
            </w:pPr>
            <w:r>
              <w:rPr/>
              <w:t> </w:t>
            </w:r>
            <w:bookmarkStart w:id="84" w:name="xdx_405_eus-gaap--PreferredStockValue_i0"/>
            <w:bookmarkEnd w:id="84"/>
          </w:p>
        </w:tc>
      </w:tr>
      <w:tr>
        <w:trPr/>
        <w:tc>
          <w:tcPr>
            <w:tcW w:w="7365" w:type="dxa"/>
            <w:tcBorders/>
            <w:shd w:fill="CCEEFF" w:val="clear"/>
            <w:vAlign w:val="center"/>
          </w:tcPr>
          <w:p>
            <w:pPr>
              <w:pStyle w:val="TableContents"/>
              <w:bidi w:val="0"/>
              <w:spacing w:before="0" w:after="283"/>
              <w:jc w:val="left"/>
              <w:rPr/>
            </w:pPr>
            <w:r>
              <w:rPr/>
              <w:t>Preferred stock, $</w:t>
            </w:r>
            <w:bookmarkStart w:id="85" w:name="xdx_900_eus-gaap--PreferredStockParOrSta"/>
            <w:bookmarkStart w:id="86" w:name="xdx_908_eus-gaap--PreferredStockParOrSta"/>
            <w:bookmarkEnd w:id="85"/>
            <w:bookmarkEnd w:id="86"/>
            <w:r>
              <w:rPr/>
              <w:t xml:space="preserve">0.001 par value, authorized </w:t>
            </w:r>
            <w:bookmarkStart w:id="87" w:name="xdx_900_eus-gaap--PreferredStockSharesAu"/>
            <w:bookmarkStart w:id="88" w:name="xdx_905_eus-gaap--PreferredStockSharesAu"/>
            <w:bookmarkEnd w:id="87"/>
            <w:bookmarkEnd w:id="88"/>
            <w:r>
              <w:rPr/>
              <w:t xml:space="preserve">1,000,000 shares, designated </w:t>
            </w:r>
            <w:bookmarkStart w:id="89" w:name="xdx_906_eus-gaap--PreferredStockSharesAu"/>
            <w:bookmarkStart w:id="90" w:name="xdx_908_eus-gaap--PreferredStockSharesAu"/>
            <w:bookmarkEnd w:id="89"/>
            <w:bookmarkEnd w:id="90"/>
            <w:r>
              <w:rPr/>
              <w:t xml:space="preserve">200 shares of Series A, </w:t>
            </w:r>
            <w:bookmarkStart w:id="91" w:name="xdx_906_eus-gaap--PreferredStockSharesAu"/>
            <w:bookmarkStart w:id="92" w:name="xdx_902_eus-gaap--PreferredStockSharesAu"/>
            <w:bookmarkEnd w:id="91"/>
            <w:bookmarkEnd w:id="92"/>
            <w:r>
              <w:rPr/>
              <w:t xml:space="preserve">600 shares of Series B, </w:t>
            </w:r>
            <w:bookmarkStart w:id="93" w:name="xdx_909_eus-gaap--PreferredStockSharesAu"/>
            <w:bookmarkStart w:id="94" w:name="xdx_90B_eus-gaap--PreferredStockSharesAu"/>
            <w:bookmarkEnd w:id="93"/>
            <w:bookmarkEnd w:id="94"/>
            <w:r>
              <w:rPr/>
              <w:t xml:space="preserve">4,200 shares of Series C, </w:t>
            </w:r>
            <w:bookmarkStart w:id="95" w:name="xdx_90E_eus-gaap--PreferredStockSharesAu"/>
            <w:bookmarkStart w:id="96" w:name="xdx_903_eus-gaap--PreferredStockSharesAu"/>
            <w:bookmarkEnd w:id="95"/>
            <w:bookmarkEnd w:id="96"/>
            <w:r>
              <w:rPr/>
              <w:t xml:space="preserve">1,400 shares of Series D, </w:t>
            </w:r>
            <w:bookmarkStart w:id="97" w:name="xdx_901_eus-gaap--PreferredStockSharesAu"/>
            <w:bookmarkStart w:id="98" w:name="xdx_901_eus-gaap--PreferredStockSharesAu"/>
            <w:bookmarkEnd w:id="97"/>
            <w:bookmarkEnd w:id="98"/>
            <w:r>
              <w:rPr/>
              <w:t xml:space="preserve">1,000 shares of Series E, </w:t>
            </w:r>
            <w:bookmarkStart w:id="99" w:name="xdx_909_eus-gaap--PreferredStockSharesAu"/>
            <w:bookmarkStart w:id="100" w:name="xdx_909_eus-gaap--PreferredStockSharesAu"/>
            <w:bookmarkEnd w:id="99"/>
            <w:bookmarkEnd w:id="100"/>
            <w:r>
              <w:rPr/>
              <w:t>200,000 shares of Series F Preferred Stock.</w:t>
            </w:r>
          </w:p>
        </w:tc>
        <w:tc>
          <w:tcPr>
            <w:tcW w:w="6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jc w:val="left"/>
              <w:rPr/>
            </w:pPr>
            <w:r>
              <w:rPr/>
              <w:t> </w:t>
            </w:r>
          </w:p>
        </w:tc>
        <w:tc>
          <w:tcPr>
            <w:tcW w:w="1023"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971" w:type="dxa"/>
            <w:tcBorders/>
            <w:shd w:fill="CCEEFF" w:val="clear"/>
            <w:vAlign w:val="center"/>
          </w:tcPr>
          <w:p>
            <w:pPr>
              <w:pStyle w:val="TableContents"/>
              <w:bidi w:val="0"/>
              <w:spacing w:before="0" w:after="283"/>
              <w:jc w:val="right"/>
              <w:rPr/>
            </w:pPr>
            <w:r>
              <w:rPr/>
              <w:t>-</w:t>
            </w:r>
          </w:p>
        </w:tc>
        <w:tc>
          <w:tcPr>
            <w:tcW w:w="315" w:type="dxa"/>
            <w:tcBorders/>
            <w:shd w:fill="CCEEFF" w:val="clear"/>
            <w:vAlign w:val="center"/>
          </w:tcPr>
          <w:p>
            <w:pPr>
              <w:pStyle w:val="TableContents"/>
              <w:bidi w:val="0"/>
              <w:spacing w:before="0" w:after="283"/>
              <w:jc w:val="left"/>
              <w:rPr/>
            </w:pPr>
            <w:r>
              <w:rPr/>
              <w:t> </w:t>
            </w:r>
            <w:bookmarkStart w:id="101" w:name="xdx_400_eus-gaap--CommonStockValue_i01I_"/>
            <w:bookmarkEnd w:id="101"/>
          </w:p>
        </w:tc>
      </w:tr>
      <w:tr>
        <w:trPr/>
        <w:tc>
          <w:tcPr>
            <w:tcW w:w="7365" w:type="dxa"/>
            <w:tcBorders/>
            <w:shd w:fill="FFFFFF" w:val="clear"/>
            <w:vAlign w:val="center"/>
          </w:tcPr>
          <w:p>
            <w:pPr>
              <w:pStyle w:val="TableContents"/>
              <w:bidi w:val="0"/>
              <w:spacing w:before="0" w:after="283"/>
              <w:jc w:val="left"/>
              <w:rPr/>
            </w:pPr>
            <w:r>
              <w:rPr/>
              <w:t>Common stock, $</w:t>
            </w:r>
            <w:bookmarkStart w:id="102" w:name="xdx_904_eus-gaap--CommonStockParOrStated"/>
            <w:bookmarkStart w:id="103" w:name="xdx_900_eus-gaap--CommonStockParOrStated"/>
            <w:bookmarkEnd w:id="102"/>
            <w:bookmarkEnd w:id="103"/>
            <w:r>
              <w:rPr/>
              <w:t xml:space="preserve">0.001 par value, authorized </w:t>
            </w:r>
            <w:bookmarkStart w:id="104" w:name="xdx_90A_eus-gaap--CommonStockSharesAutho"/>
            <w:bookmarkStart w:id="105" w:name="xdx_905_eus-gaap--CommonStockSharesAutho"/>
            <w:bookmarkEnd w:id="104"/>
            <w:bookmarkEnd w:id="105"/>
            <w:r>
              <w:rPr/>
              <w:t xml:space="preserve">500,000,000 shares, </w:t>
            </w:r>
            <w:bookmarkStart w:id="106" w:name="xdx_902_eus-gaap--CommonStockSharesOutst"/>
            <w:bookmarkStart w:id="107" w:name="xdx_90C_eus-gaap--CommonStockSharesIssue"/>
            <w:bookmarkEnd w:id="106"/>
            <w:bookmarkEnd w:id="107"/>
            <w:r>
              <w:rPr/>
              <w:t xml:space="preserve">35,462,204 and </w:t>
            </w:r>
            <w:bookmarkStart w:id="108" w:name="xdx_900_eus-gaap--CommonStockSharesOutst"/>
            <w:bookmarkStart w:id="109" w:name="xdx_903_eus-gaap--CommonStockSharesIssue"/>
            <w:bookmarkEnd w:id="108"/>
            <w:bookmarkEnd w:id="109"/>
            <w:r>
              <w:rPr/>
              <w:t>17,239,096 issued and outstanding as of September 30, 2025 and December 31, 2024, respectively</w:t>
            </w:r>
          </w:p>
        </w:tc>
        <w:tc>
          <w:tcPr>
            <w:tcW w:w="60"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 </w:t>
            </w:r>
          </w:p>
        </w:tc>
        <w:tc>
          <w:tcPr>
            <w:tcW w:w="1023" w:type="dxa"/>
            <w:tcBorders/>
            <w:shd w:fill="FFFFFF" w:val="clear"/>
            <w:vAlign w:val="center"/>
          </w:tcPr>
          <w:p>
            <w:pPr>
              <w:pStyle w:val="TableContents"/>
              <w:bidi w:val="0"/>
              <w:spacing w:before="0" w:after="283"/>
              <w:jc w:val="right"/>
              <w:rPr/>
            </w:pPr>
            <w:r>
              <w:rPr/>
              <w:t>36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971" w:type="dxa"/>
            <w:tcBorders/>
            <w:shd w:fill="FFFFFF" w:val="clear"/>
            <w:vAlign w:val="center"/>
          </w:tcPr>
          <w:p>
            <w:pPr>
              <w:pStyle w:val="TableContents"/>
              <w:bidi w:val="0"/>
              <w:spacing w:before="0" w:after="283"/>
              <w:jc w:val="right"/>
              <w:rPr/>
            </w:pPr>
            <w:r>
              <w:rPr/>
              <w:t>17</w:t>
            </w:r>
          </w:p>
        </w:tc>
        <w:tc>
          <w:tcPr>
            <w:tcW w:w="315" w:type="dxa"/>
            <w:tcBorders/>
            <w:shd w:fill="FFFFFF" w:val="clear"/>
            <w:vAlign w:val="center"/>
          </w:tcPr>
          <w:p>
            <w:pPr>
              <w:pStyle w:val="TableContents"/>
              <w:bidi w:val="0"/>
              <w:spacing w:before="0" w:after="283"/>
              <w:jc w:val="left"/>
              <w:rPr/>
            </w:pPr>
            <w:r>
              <w:rPr/>
              <w:t> </w:t>
            </w:r>
            <w:bookmarkStart w:id="110" w:name="xdx_401_eus-gaap--AdditionalPaidInCapita"/>
            <w:bookmarkEnd w:id="110"/>
          </w:p>
        </w:tc>
      </w:tr>
      <w:tr>
        <w:trPr/>
        <w:tc>
          <w:tcPr>
            <w:tcW w:w="7365" w:type="dxa"/>
            <w:tcBorders/>
            <w:shd w:fill="CCEEFF" w:val="clear"/>
            <w:vAlign w:val="center"/>
          </w:tcPr>
          <w:p>
            <w:pPr>
              <w:pStyle w:val="TableContents"/>
              <w:bidi w:val="0"/>
              <w:spacing w:before="0" w:after="283"/>
              <w:jc w:val="left"/>
              <w:rPr/>
            </w:pPr>
            <w:r>
              <w:rPr/>
              <w:t>Additional paid-in-capital</w:t>
            </w:r>
          </w:p>
        </w:tc>
        <w:tc>
          <w:tcPr>
            <w:tcW w:w="6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jc w:val="left"/>
              <w:rPr/>
            </w:pPr>
            <w:r>
              <w:rPr/>
              <w:t> </w:t>
            </w:r>
          </w:p>
        </w:tc>
        <w:tc>
          <w:tcPr>
            <w:tcW w:w="1023" w:type="dxa"/>
            <w:tcBorders/>
            <w:shd w:fill="CCEEFF" w:val="clear"/>
            <w:vAlign w:val="center"/>
          </w:tcPr>
          <w:p>
            <w:pPr>
              <w:pStyle w:val="TableContents"/>
              <w:bidi w:val="0"/>
              <w:spacing w:before="0" w:after="283"/>
              <w:jc w:val="right"/>
              <w:rPr/>
            </w:pPr>
            <w:r>
              <w:rPr/>
              <w:t>287,905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971" w:type="dxa"/>
            <w:tcBorders/>
            <w:shd w:fill="CCEEFF" w:val="clear"/>
            <w:vAlign w:val="center"/>
          </w:tcPr>
          <w:p>
            <w:pPr>
              <w:pStyle w:val="TableContents"/>
              <w:bidi w:val="0"/>
              <w:spacing w:before="0" w:after="283"/>
              <w:jc w:val="right"/>
              <w:rPr/>
            </w:pPr>
            <w:r>
              <w:rPr/>
              <w:t>253,784</w:t>
            </w:r>
          </w:p>
        </w:tc>
        <w:tc>
          <w:tcPr>
            <w:tcW w:w="315" w:type="dxa"/>
            <w:tcBorders/>
            <w:shd w:fill="CCEEFF" w:val="clear"/>
            <w:vAlign w:val="center"/>
          </w:tcPr>
          <w:p>
            <w:pPr>
              <w:pStyle w:val="TableContents"/>
              <w:bidi w:val="0"/>
              <w:spacing w:before="0" w:after="283"/>
              <w:jc w:val="left"/>
              <w:rPr/>
            </w:pPr>
            <w:r>
              <w:rPr/>
              <w:t> </w:t>
            </w:r>
            <w:bookmarkStart w:id="111" w:name="xdx_40C_eus-gaap--AccumulatedOtherCompre"/>
            <w:bookmarkEnd w:id="111"/>
          </w:p>
        </w:tc>
      </w:tr>
      <w:tr>
        <w:trPr/>
        <w:tc>
          <w:tcPr>
            <w:tcW w:w="7365" w:type="dxa"/>
            <w:tcBorders/>
            <w:shd w:fill="FFFFFF" w:val="clear"/>
            <w:vAlign w:val="center"/>
          </w:tcPr>
          <w:p>
            <w:pPr>
              <w:pStyle w:val="TableContents"/>
              <w:bidi w:val="0"/>
              <w:spacing w:before="0" w:after="283"/>
              <w:jc w:val="left"/>
              <w:rPr/>
            </w:pPr>
            <w:r>
              <w:rPr/>
              <w:t>Accumulated other comprehensive loss</w:t>
            </w:r>
          </w:p>
        </w:tc>
        <w:tc>
          <w:tcPr>
            <w:tcW w:w="60"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 </w:t>
            </w:r>
          </w:p>
        </w:tc>
        <w:tc>
          <w:tcPr>
            <w:tcW w:w="1023" w:type="dxa"/>
            <w:tcBorders/>
            <w:shd w:fill="FFFFFF" w:val="clear"/>
            <w:vAlign w:val="center"/>
          </w:tcPr>
          <w:p>
            <w:pPr>
              <w:pStyle w:val="TableContents"/>
              <w:bidi w:val="0"/>
              <w:spacing w:before="0" w:after="283"/>
              <w:jc w:val="right"/>
              <w:rPr/>
            </w:pPr>
            <w:r>
              <w:rPr/>
              <w:t>(787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971" w:type="dxa"/>
            <w:tcBorders/>
            <w:shd w:fill="FFFFFF" w:val="clear"/>
            <w:vAlign w:val="center"/>
          </w:tcPr>
          <w:p>
            <w:pPr>
              <w:pStyle w:val="TableContents"/>
              <w:bidi w:val="0"/>
              <w:spacing w:before="0" w:after="283"/>
              <w:jc w:val="right"/>
              <w:rPr/>
            </w:pPr>
            <w:r>
              <w:rPr/>
              <w:t>-</w:t>
            </w:r>
          </w:p>
        </w:tc>
        <w:tc>
          <w:tcPr>
            <w:tcW w:w="315" w:type="dxa"/>
            <w:tcBorders/>
            <w:shd w:fill="FFFFFF" w:val="clear"/>
            <w:vAlign w:val="center"/>
          </w:tcPr>
          <w:p>
            <w:pPr>
              <w:pStyle w:val="TableContents"/>
              <w:bidi w:val="0"/>
              <w:spacing w:before="0" w:after="283"/>
              <w:jc w:val="left"/>
              <w:rPr/>
            </w:pPr>
            <w:r>
              <w:rPr/>
              <w:t> </w:t>
            </w:r>
            <w:bookmarkStart w:id="112" w:name="xdx_405_eus-gaap--RetainedEarningsAccumu"/>
            <w:bookmarkEnd w:id="112"/>
          </w:p>
        </w:tc>
      </w:tr>
      <w:tr>
        <w:trPr/>
        <w:tc>
          <w:tcPr>
            <w:tcW w:w="7365" w:type="dxa"/>
            <w:tcBorders/>
            <w:shd w:fill="CCEEFF" w:val="clear"/>
            <w:vAlign w:val="center"/>
          </w:tcPr>
          <w:p>
            <w:pPr>
              <w:pStyle w:val="TableContents"/>
              <w:bidi w:val="0"/>
              <w:spacing w:before="0" w:after="283"/>
              <w:jc w:val="left"/>
              <w:rPr/>
            </w:pPr>
            <w:r>
              <w:rPr/>
              <w:t>Accumulated deficit</w:t>
            </w:r>
          </w:p>
        </w:tc>
        <w:tc>
          <w:tcPr>
            <w:tcW w:w="60" w:type="dxa"/>
            <w:tcBorders/>
            <w:shd w:fill="CCEEFF" w:val="clear"/>
            <w:vAlign w:val="center"/>
          </w:tcPr>
          <w:p>
            <w:pPr>
              <w:pStyle w:val="TableContents"/>
              <w:bidi w:val="0"/>
              <w:spacing w:before="0" w:after="283"/>
              <w:jc w:val="left"/>
              <w:rPr/>
            </w:pPr>
            <w:r>
              <w:rPr/>
              <w:t> </w:t>
            </w:r>
          </w:p>
        </w:tc>
        <w:tc>
          <w:tcPr>
            <w:tcW w:w="16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23" w:type="dxa"/>
            <w:tcBorders>
              <w:bottom w:val="single" w:sz="8" w:space="0" w:color="000000"/>
            </w:tcBorders>
            <w:shd w:fill="CCEEFF" w:val="clear"/>
            <w:tcMar>
              <w:bottom w:w="28" w:type="dxa"/>
            </w:tcMar>
            <w:vAlign w:val="center"/>
          </w:tcPr>
          <w:p>
            <w:pPr>
              <w:pStyle w:val="TableContents"/>
              <w:bidi w:val="0"/>
              <w:spacing w:before="0" w:after="283"/>
              <w:jc w:val="right"/>
              <w:rPr/>
            </w:pPr>
            <w:r>
              <w:rPr/>
              <w:t>(294,113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5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71" w:type="dxa"/>
            <w:tcBorders>
              <w:bottom w:val="single" w:sz="8" w:space="0" w:color="000000"/>
            </w:tcBorders>
            <w:shd w:fill="CCEEFF" w:val="clear"/>
            <w:tcMar>
              <w:bottom w:w="28" w:type="dxa"/>
            </w:tcMar>
            <w:vAlign w:val="center"/>
          </w:tcPr>
          <w:p>
            <w:pPr>
              <w:pStyle w:val="TableContents"/>
              <w:bidi w:val="0"/>
              <w:spacing w:before="0" w:after="283"/>
              <w:jc w:val="right"/>
              <w:rPr/>
            </w:pPr>
            <w:r>
              <w:rPr/>
              <w:t>(255,345</w:t>
            </w:r>
          </w:p>
        </w:tc>
        <w:tc>
          <w:tcPr>
            <w:tcW w:w="315" w:type="dxa"/>
            <w:tcBorders/>
            <w:shd w:fill="CCEEFF" w:val="clear"/>
            <w:vAlign w:val="center"/>
          </w:tcPr>
          <w:p>
            <w:pPr>
              <w:pStyle w:val="TableContents"/>
              <w:bidi w:val="0"/>
              <w:spacing w:before="0" w:after="283"/>
              <w:ind w:left="0" w:right="0" w:firstLine="201"/>
              <w:jc w:val="left"/>
              <w:rPr/>
            </w:pPr>
            <w:r>
              <w:rPr/>
              <w:t>)</w:t>
            </w:r>
            <w:bookmarkStart w:id="113" w:name="xdx_40A_eus-gaap--StockholdersEquity_i01"/>
            <w:bookmarkEnd w:id="113"/>
          </w:p>
        </w:tc>
      </w:tr>
      <w:tr>
        <w:trPr/>
        <w:tc>
          <w:tcPr>
            <w:tcW w:w="7365" w:type="dxa"/>
            <w:tcBorders/>
            <w:shd w:fill="FFFFFF" w:val="clear"/>
            <w:vAlign w:val="center"/>
          </w:tcPr>
          <w:p>
            <w:pPr>
              <w:pStyle w:val="TableContents"/>
              <w:bidi w:val="0"/>
              <w:spacing w:before="0" w:after="283"/>
              <w:jc w:val="left"/>
              <w:rPr>
                <w:b/>
              </w:rPr>
            </w:pPr>
            <w:r>
              <w:rPr>
                <w:b/>
              </w:rPr>
              <w:t>Total stockholders’ deficit attributable to Streamex Corp.</w:t>
            </w:r>
          </w:p>
        </w:tc>
        <w:tc>
          <w:tcPr>
            <w:tcW w:w="60"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 </w:t>
            </w:r>
          </w:p>
        </w:tc>
        <w:tc>
          <w:tcPr>
            <w:tcW w:w="1023" w:type="dxa"/>
            <w:tcBorders/>
            <w:shd w:fill="FFFFFF" w:val="clear"/>
            <w:vAlign w:val="center"/>
          </w:tcPr>
          <w:p>
            <w:pPr>
              <w:pStyle w:val="TableContents"/>
              <w:bidi w:val="0"/>
              <w:spacing w:before="0" w:after="283"/>
              <w:jc w:val="right"/>
              <w:rPr>
                <w:b/>
              </w:rPr>
            </w:pPr>
            <w:r>
              <w:rPr>
                <w:b/>
              </w:rPr>
              <w:t>(6,959</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971" w:type="dxa"/>
            <w:tcBorders/>
            <w:shd w:fill="FFFFFF" w:val="clear"/>
            <w:vAlign w:val="center"/>
          </w:tcPr>
          <w:p>
            <w:pPr>
              <w:pStyle w:val="TableContents"/>
              <w:bidi w:val="0"/>
              <w:spacing w:before="0" w:after="283"/>
              <w:jc w:val="right"/>
              <w:rPr>
                <w:b/>
              </w:rPr>
            </w:pPr>
            <w:r>
              <w:rPr>
                <w:b/>
              </w:rPr>
              <w:t>(1,544</w:t>
            </w:r>
          </w:p>
        </w:tc>
        <w:tc>
          <w:tcPr>
            <w:tcW w:w="315" w:type="dxa"/>
            <w:tcBorders/>
            <w:shd w:fill="FFFFFF" w:val="clear"/>
            <w:vAlign w:val="center"/>
          </w:tcPr>
          <w:p>
            <w:pPr>
              <w:pStyle w:val="TableContents"/>
              <w:bidi w:val="0"/>
              <w:spacing w:before="0" w:after="283"/>
              <w:jc w:val="left"/>
              <w:rPr>
                <w:b/>
              </w:rPr>
            </w:pPr>
            <w:r>
              <w:rPr>
                <w:b/>
              </w:rPr>
              <w:t>)</w:t>
            </w:r>
            <w:bookmarkStart w:id="114" w:name="xdx_40C_eus-gaap--MinorityInterest_i01I_"/>
            <w:bookmarkEnd w:id="114"/>
          </w:p>
        </w:tc>
      </w:tr>
      <w:tr>
        <w:trPr/>
        <w:tc>
          <w:tcPr>
            <w:tcW w:w="7365" w:type="dxa"/>
            <w:tcBorders/>
            <w:shd w:fill="CCEEFF" w:val="clear"/>
            <w:vAlign w:val="center"/>
          </w:tcPr>
          <w:p>
            <w:pPr>
              <w:pStyle w:val="TableContents"/>
              <w:bidi w:val="0"/>
              <w:spacing w:before="0" w:after="283"/>
              <w:jc w:val="left"/>
              <w:rPr/>
            </w:pPr>
            <w:r>
              <w:rPr/>
              <w:t>Non-controlling interest</w:t>
            </w:r>
          </w:p>
        </w:tc>
        <w:tc>
          <w:tcPr>
            <w:tcW w:w="60" w:type="dxa"/>
            <w:tcBorders/>
            <w:shd w:fill="CCEEFF" w:val="clear"/>
            <w:vAlign w:val="center"/>
          </w:tcPr>
          <w:p>
            <w:pPr>
              <w:pStyle w:val="TableContents"/>
              <w:bidi w:val="0"/>
              <w:spacing w:before="0" w:after="283"/>
              <w:jc w:val="left"/>
              <w:rPr/>
            </w:pPr>
            <w:r>
              <w:rPr/>
              <w:t> </w:t>
            </w:r>
          </w:p>
        </w:tc>
        <w:tc>
          <w:tcPr>
            <w:tcW w:w="16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23" w:type="dxa"/>
            <w:tcBorders>
              <w:bottom w:val="single" w:sz="8" w:space="0" w:color="000000"/>
            </w:tcBorders>
            <w:shd w:fill="CCEEFF" w:val="clear"/>
            <w:tcMar>
              <w:bottom w:w="28" w:type="dxa"/>
            </w:tcMar>
            <w:vAlign w:val="center"/>
          </w:tcPr>
          <w:p>
            <w:pPr>
              <w:pStyle w:val="TableContents"/>
              <w:bidi w:val="0"/>
              <w:spacing w:before="0" w:after="283"/>
              <w:jc w:val="right"/>
              <w:rPr/>
            </w:pPr>
            <w:r>
              <w:rPr/>
              <w:t>33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71" w:type="dxa"/>
            <w:tcBorders>
              <w:bottom w:val="single" w:sz="8" w:space="0" w:color="000000"/>
            </w:tcBorders>
            <w:shd w:fill="CCEEFF" w:val="clear"/>
            <w:tcMar>
              <w:bottom w:w="28" w:type="dxa"/>
            </w:tcMar>
            <w:vAlign w:val="center"/>
          </w:tcPr>
          <w:p>
            <w:pPr>
              <w:pStyle w:val="TableContents"/>
              <w:bidi w:val="0"/>
              <w:spacing w:before="0" w:after="283"/>
              <w:jc w:val="right"/>
              <w:rPr/>
            </w:pPr>
            <w:r>
              <w:rPr/>
              <w:t>17</w:t>
            </w:r>
          </w:p>
        </w:tc>
        <w:tc>
          <w:tcPr>
            <w:tcW w:w="315" w:type="dxa"/>
            <w:tcBorders/>
            <w:shd w:fill="CCEEFF" w:val="clear"/>
            <w:vAlign w:val="center"/>
          </w:tcPr>
          <w:p>
            <w:pPr>
              <w:pStyle w:val="TableContents"/>
              <w:bidi w:val="0"/>
              <w:spacing w:before="0" w:after="283"/>
              <w:jc w:val="left"/>
              <w:rPr/>
            </w:pPr>
            <w:r>
              <w:rPr/>
              <w:t> </w:t>
            </w:r>
            <w:bookmarkStart w:id="115" w:name="xdx_40C_eus-gaap--StockholdersEquityIncl"/>
            <w:bookmarkEnd w:id="115"/>
          </w:p>
        </w:tc>
      </w:tr>
      <w:tr>
        <w:trPr/>
        <w:tc>
          <w:tcPr>
            <w:tcW w:w="7365" w:type="dxa"/>
            <w:tcBorders/>
            <w:shd w:fill="FFFFFF" w:val="clear"/>
            <w:vAlign w:val="center"/>
          </w:tcPr>
          <w:p>
            <w:pPr>
              <w:pStyle w:val="TableContents"/>
              <w:bidi w:val="0"/>
              <w:spacing w:before="0" w:after="283"/>
              <w:jc w:val="left"/>
              <w:rPr>
                <w:b/>
              </w:rPr>
            </w:pPr>
            <w:r>
              <w:rPr>
                <w:b/>
              </w:rPr>
              <w:t>Total stockholders’ deficit</w:t>
            </w:r>
          </w:p>
        </w:tc>
        <w:tc>
          <w:tcPr>
            <w:tcW w:w="60" w:type="dxa"/>
            <w:tcBorders/>
            <w:shd w:fill="FFFFFF" w:val="clear"/>
            <w:vAlign w:val="center"/>
          </w:tcPr>
          <w:p>
            <w:pPr>
              <w:pStyle w:val="TableContents"/>
              <w:bidi w:val="0"/>
              <w:spacing w:before="0" w:after="283"/>
              <w:jc w:val="left"/>
              <w:rPr/>
            </w:pPr>
            <w:r>
              <w:rPr/>
              <w:t> </w:t>
            </w:r>
          </w:p>
        </w:tc>
        <w:tc>
          <w:tcPr>
            <w:tcW w:w="16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23"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(6,926</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15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71"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(1,527</w:t>
            </w:r>
          </w:p>
        </w:tc>
        <w:tc>
          <w:tcPr>
            <w:tcW w:w="315" w:type="dxa"/>
            <w:tcBorders/>
            <w:shd w:fill="FFFFFF" w:val="clear"/>
            <w:vAlign w:val="center"/>
          </w:tcPr>
          <w:p>
            <w:pPr>
              <w:pStyle w:val="TableContents"/>
              <w:bidi w:val="0"/>
              <w:spacing w:before="0" w:after="283"/>
              <w:ind w:left="0" w:right="0" w:firstLine="201"/>
              <w:jc w:val="left"/>
              <w:rPr>
                <w:b/>
              </w:rPr>
            </w:pPr>
            <w:r>
              <w:rPr>
                <w:b/>
              </w:rPr>
              <w:t>)</w:t>
            </w:r>
            <w:bookmarkStart w:id="116" w:name="xdx_408_eus-gaap--LiabilitiesAndStockhol"/>
            <w:bookmarkEnd w:id="116"/>
          </w:p>
        </w:tc>
      </w:tr>
      <w:tr>
        <w:trPr/>
        <w:tc>
          <w:tcPr>
            <w:tcW w:w="7365" w:type="dxa"/>
            <w:tcBorders/>
            <w:shd w:fill="CCEEFF" w:val="clear"/>
            <w:vAlign w:val="center"/>
          </w:tcPr>
          <w:p>
            <w:pPr>
              <w:pStyle w:val="TableContents"/>
              <w:bidi w:val="0"/>
              <w:spacing w:before="0" w:after="283"/>
              <w:jc w:val="left"/>
              <w:rPr>
                <w:b/>
              </w:rPr>
            </w:pPr>
            <w:r>
              <w:rPr>
                <w:b/>
              </w:rPr>
              <w:t>Total liabilities and stockholders’ equity deficit</w:t>
            </w:r>
          </w:p>
        </w:tc>
        <w:tc>
          <w:tcPr>
            <w:tcW w:w="60" w:type="dxa"/>
            <w:tcBorders/>
            <w:shd w:fill="CCEEFF" w:val="clear"/>
            <w:vAlign w:val="center"/>
          </w:tcPr>
          <w:p>
            <w:pPr>
              <w:pStyle w:val="TableContents"/>
              <w:bidi w:val="0"/>
              <w:spacing w:before="0" w:after="283"/>
              <w:jc w:val="left"/>
              <w:rPr/>
            </w:pPr>
            <w:r>
              <w:rPr/>
              <w:t> </w:t>
            </w:r>
          </w:p>
        </w:tc>
        <w:tc>
          <w:tcPr>
            <w:tcW w:w="162"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023"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130,514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971"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842</w:t>
            </w:r>
          </w:p>
        </w:tc>
        <w:tc>
          <w:tcPr>
            <w:tcW w:w="31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unaudited Condensed Consolidated Financial Statements</w:t>
      </w:r>
    </w:p>
    <w:p>
      <w:pPr>
        <w:pStyle w:val="TextBody"/>
        <w:bidi w:val="0"/>
        <w:spacing w:before="0" w:after="0"/>
        <w:ind w:left="0" w:right="0" w:hanging="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3</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17" w:name="vv_004"/>
      <w:bookmarkEnd w:id="117"/>
      <w:r>
        <w:rPr>
          <w:rFonts w:ascii="Times New Roman;Times;Serif" w:hAnsi="Times New Roman;Times;Serif"/>
          <w:b/>
          <w:i w:val="false"/>
          <w:caps w:val="false"/>
          <w:smallCaps w:val="false"/>
          <w:sz w:val="20"/>
        </w:rPr>
        <w:t>STREAMEX CORP.</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CONDENSED CONSOLIDATED STATEMENTS OF OPERATIONS AND COMPREHENSIVE LOSS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Par Value and Share Amounts)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caps w:val="false"/>
          <w:smallCaps w:val="false"/>
          <w:sz w:val="20"/>
        </w:rPr>
        <w:t>(</w:t>
      </w:r>
      <w:r>
        <w:rPr>
          <w:rFonts w:ascii="Times New Roman;Times;Serif" w:hAnsi="Times New Roman;Times;Serif"/>
          <w:b/>
          <w:i w:val="false"/>
          <w:caps w:val="false"/>
          <w:smallCaps w:val="false"/>
          <w:sz w:val="20"/>
        </w:rPr>
        <w:t>Unaudited</w:t>
      </w:r>
      <w:r>
        <w:rPr>
          <w:rFonts w:ascii="Times New Roman;Times;Serif" w:hAnsi="Times New Roman;Times;Serif"/>
          <w:b/>
          <w:i/>
          <w:caps w:val="false"/>
          <w:smallCaps w:val="false"/>
          <w:sz w:val="20"/>
        </w:rPr>
        <w:t>)</w:t>
      </w:r>
    </w:p>
    <w:p>
      <w:pPr>
        <w:pStyle w:val="TextBody"/>
        <w:bidi w:val="0"/>
        <w:spacing w:before="0" w:after="0"/>
        <w:ind w:left="0" w:right="0" w:hanging="0"/>
        <w:jc w:val="center"/>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118" w:name="xdx_300_113_pn3n3_zF2vXLFHEV3e"/>
      <w:bookmarkStart w:id="119" w:name="xdx_300_113_pn3n3_zF2vXLFHEV3e"/>
      <w:bookmarkEnd w:id="119"/>
    </w:p>
    <w:tbl>
      <w:tblPr>
        <w:tblW w:w="10205" w:type="dxa"/>
        <w:jc w:val="left"/>
        <w:tblInd w:w="0" w:type="dxa"/>
        <w:tblLayout w:type="fixed"/>
        <w:tblCellMar>
          <w:top w:w="0" w:type="dxa"/>
          <w:left w:w="0" w:type="dxa"/>
          <w:bottom w:w="0" w:type="dxa"/>
          <w:right w:w="0" w:type="dxa"/>
        </w:tblCellMar>
      </w:tblPr>
      <w:tblGrid>
        <w:gridCol w:w="3487"/>
        <w:gridCol w:w="60"/>
        <w:gridCol w:w="170"/>
        <w:gridCol w:w="1340"/>
        <w:gridCol w:w="115"/>
        <w:gridCol w:w="73"/>
        <w:gridCol w:w="170"/>
        <w:gridCol w:w="1340"/>
        <w:gridCol w:w="95"/>
        <w:gridCol w:w="60"/>
        <w:gridCol w:w="168"/>
        <w:gridCol w:w="1328"/>
        <w:gridCol w:w="114"/>
        <w:gridCol w:w="72"/>
        <w:gridCol w:w="168"/>
        <w:gridCol w:w="1328"/>
        <w:gridCol w:w="117"/>
      </w:tblGrid>
      <w:tr>
        <w:trPr/>
        <w:tc>
          <w:tcPr>
            <w:tcW w:w="348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20" w:name="xdx_493_20250701__20250930_zVo7qpXPhx2b"/>
            <w:bookmarkEnd w:id="120"/>
          </w:p>
        </w:tc>
        <w:tc>
          <w:tcPr>
            <w:tcW w:w="151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15"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jc w:val="left"/>
              <w:rPr/>
            </w:pPr>
            <w:r>
              <w:rPr/>
              <w:t> </w:t>
            </w:r>
            <w:bookmarkStart w:id="121" w:name="xdx_49A_20240701__20240930_zZZyOQW3bhLd"/>
            <w:bookmarkEnd w:id="121"/>
          </w:p>
        </w:tc>
        <w:tc>
          <w:tcPr>
            <w:tcW w:w="151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22" w:name="xdx_49F_20250101__20250930_z4eIQRdvcIrl"/>
            <w:bookmarkEnd w:id="122"/>
          </w:p>
        </w:tc>
        <w:tc>
          <w:tcPr>
            <w:tcW w:w="1496"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14"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bookmarkStart w:id="123" w:name="xdx_499_20240101__20240930_zKsH1yhpJD36"/>
            <w:bookmarkEnd w:id="123"/>
          </w:p>
        </w:tc>
        <w:tc>
          <w:tcPr>
            <w:tcW w:w="1496"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117" w:type="dxa"/>
            <w:tcBorders/>
            <w:vAlign w:val="center"/>
          </w:tcPr>
          <w:p>
            <w:pPr>
              <w:pStyle w:val="TableContents"/>
              <w:bidi w:val="0"/>
              <w:spacing w:before="0" w:after="283"/>
              <w:jc w:val="left"/>
              <w:rPr/>
            </w:pPr>
            <w:r>
              <w:rPr/>
              <w:t> </w:t>
            </w:r>
          </w:p>
        </w:tc>
      </w:tr>
      <w:tr>
        <w:trPr/>
        <w:tc>
          <w:tcPr>
            <w:tcW w:w="348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08" w:type="dxa"/>
            <w:gridSpan w:val="6"/>
            <w:tcBorders>
              <w:bottom w:val="single" w:sz="8" w:space="0" w:color="000000"/>
            </w:tcBorders>
            <w:tcMar>
              <w:bottom w:w="28" w:type="dxa"/>
            </w:tcMar>
            <w:vAlign w:val="center"/>
          </w:tcPr>
          <w:p>
            <w:pPr>
              <w:pStyle w:val="TableContents"/>
              <w:bidi w:val="0"/>
              <w:spacing w:before="0" w:after="283"/>
              <w:jc w:val="center"/>
              <w:rPr>
                <w:b/>
              </w:rPr>
            </w:pPr>
            <w:r>
              <w:rPr>
                <w:b/>
              </w:rPr>
              <w:t>For the three months ended September 30,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178" w:type="dxa"/>
            <w:gridSpan w:val="6"/>
            <w:tcBorders>
              <w:bottom w:val="single" w:sz="8" w:space="0" w:color="000000"/>
            </w:tcBorders>
            <w:tcMar>
              <w:bottom w:w="28" w:type="dxa"/>
            </w:tcMar>
            <w:vAlign w:val="center"/>
          </w:tcPr>
          <w:p>
            <w:pPr>
              <w:pStyle w:val="TableContents"/>
              <w:bidi w:val="0"/>
              <w:spacing w:before="0" w:after="283"/>
              <w:jc w:val="center"/>
              <w:rPr>
                <w:b/>
              </w:rPr>
            </w:pPr>
            <w:r>
              <w:rPr>
                <w:b/>
              </w:rPr>
              <w:t>For the nine months ended September 30,</w:t>
            </w:r>
          </w:p>
        </w:tc>
        <w:tc>
          <w:tcPr>
            <w:tcW w:w="117" w:type="dxa"/>
            <w:tcBorders/>
            <w:vAlign w:val="center"/>
          </w:tcPr>
          <w:p>
            <w:pPr>
              <w:pStyle w:val="TableContents"/>
              <w:bidi w:val="0"/>
              <w:spacing w:before="0" w:after="283"/>
              <w:jc w:val="left"/>
              <w:rPr/>
            </w:pPr>
            <w:r>
              <w:rPr/>
              <w:t> </w:t>
            </w:r>
          </w:p>
        </w:tc>
      </w:tr>
      <w:tr>
        <w:trPr/>
        <w:tc>
          <w:tcPr>
            <w:tcW w:w="348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1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15"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jc w:val="left"/>
              <w:rPr/>
            </w:pPr>
            <w:r>
              <w:rPr/>
              <w:t> </w:t>
            </w:r>
          </w:p>
        </w:tc>
        <w:tc>
          <w:tcPr>
            <w:tcW w:w="151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96"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14"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1496"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117" w:type="dxa"/>
            <w:tcBorders/>
            <w:vAlign w:val="center"/>
          </w:tcPr>
          <w:p>
            <w:pPr>
              <w:pStyle w:val="TableContents"/>
              <w:bidi w:val="0"/>
              <w:spacing w:before="0" w:after="283"/>
              <w:jc w:val="left"/>
              <w:rPr/>
            </w:pPr>
            <w:r>
              <w:rPr/>
              <w:t> </w:t>
            </w:r>
            <w:bookmarkStart w:id="124" w:name="xdx_407_eus-gaap--RevenueFromContractWit"/>
            <w:bookmarkEnd w:id="124"/>
          </w:p>
        </w:tc>
      </w:tr>
      <w:tr>
        <w:trPr/>
        <w:tc>
          <w:tcPr>
            <w:tcW w:w="3487" w:type="dxa"/>
            <w:tcBorders/>
            <w:shd w:fill="CCEEFF" w:val="clear"/>
            <w:vAlign w:val="center"/>
          </w:tcPr>
          <w:p>
            <w:pPr>
              <w:pStyle w:val="TableContents"/>
              <w:bidi w:val="0"/>
              <w:spacing w:before="0" w:after="283"/>
              <w:jc w:val="left"/>
              <w:rPr>
                <w:b/>
              </w:rPr>
            </w:pPr>
            <w:r>
              <w:rPr>
                <w:b/>
              </w:rPr>
              <w:t>Revenue</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340" w:type="dxa"/>
            <w:tcBorders/>
            <w:shd w:fill="CCEEFF" w:val="clear"/>
            <w:vAlign w:val="center"/>
          </w:tcPr>
          <w:p>
            <w:pPr>
              <w:pStyle w:val="TableContents"/>
              <w:bidi w:val="0"/>
              <w:spacing w:before="0" w:after="283"/>
              <w:jc w:val="right"/>
              <w:rPr/>
            </w:pPr>
            <w:r>
              <w:rPr/>
              <w:t>-</w:t>
            </w:r>
          </w:p>
        </w:tc>
        <w:tc>
          <w:tcPr>
            <w:tcW w:w="115"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34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w:t>
            </w:r>
          </w:p>
        </w:tc>
        <w:tc>
          <w:tcPr>
            <w:tcW w:w="1328" w:type="dxa"/>
            <w:tcBorders/>
            <w:shd w:fill="CCEEFF" w:val="clear"/>
            <w:vAlign w:val="center"/>
          </w:tcPr>
          <w:p>
            <w:pPr>
              <w:pStyle w:val="TableContents"/>
              <w:bidi w:val="0"/>
              <w:spacing w:before="0" w:after="283"/>
              <w:jc w:val="right"/>
              <w:rPr/>
            </w:pPr>
            <w:r>
              <w:rPr/>
              <w:t>-</w:t>
            </w:r>
          </w:p>
        </w:tc>
        <w:tc>
          <w:tcPr>
            <w:tcW w:w="114"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w:t>
            </w:r>
          </w:p>
        </w:tc>
        <w:tc>
          <w:tcPr>
            <w:tcW w:w="1328" w:type="dxa"/>
            <w:tcBorders/>
            <w:shd w:fill="CCEEFF" w:val="clear"/>
            <w:vAlign w:val="center"/>
          </w:tcPr>
          <w:p>
            <w:pPr>
              <w:pStyle w:val="TableContents"/>
              <w:bidi w:val="0"/>
              <w:spacing w:before="0" w:after="283"/>
              <w:jc w:val="right"/>
              <w:rPr/>
            </w:pPr>
            <w:r>
              <w:rPr/>
              <w:t>27</w:t>
            </w:r>
          </w:p>
        </w:tc>
        <w:tc>
          <w:tcPr>
            <w:tcW w:w="117" w:type="dxa"/>
            <w:tcBorders/>
            <w:shd w:fill="CCEEFF" w:val="clear"/>
            <w:vAlign w:val="center"/>
          </w:tcPr>
          <w:p>
            <w:pPr>
              <w:pStyle w:val="TableContents"/>
              <w:bidi w:val="0"/>
              <w:spacing w:before="0" w:after="283"/>
              <w:jc w:val="left"/>
              <w:rPr/>
            </w:pPr>
            <w:r>
              <w:rPr/>
              <w:t> </w:t>
            </w:r>
          </w:p>
        </w:tc>
      </w:tr>
      <w:tr>
        <w:trPr/>
        <w:tc>
          <w:tcPr>
            <w:tcW w:w="348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pPr>
            <w:r>
              <w:rPr/>
              <w:t> </w:t>
            </w:r>
          </w:p>
        </w:tc>
        <w:tc>
          <w:tcPr>
            <w:tcW w:w="115"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1328" w:type="dxa"/>
            <w:tcBorders/>
            <w:shd w:fill="FFFFFF" w:val="clear"/>
            <w:vAlign w:val="center"/>
          </w:tcPr>
          <w:p>
            <w:pPr>
              <w:pStyle w:val="TableContents"/>
              <w:bidi w:val="0"/>
              <w:spacing w:before="0" w:after="283"/>
              <w:jc w:val="right"/>
              <w:rPr/>
            </w:pPr>
            <w:r>
              <w:rPr/>
              <w:t> </w:t>
            </w:r>
          </w:p>
        </w:tc>
        <w:tc>
          <w:tcPr>
            <w:tcW w:w="114"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1328" w:type="dxa"/>
            <w:tcBorders/>
            <w:shd w:fill="FFFFFF" w:val="clear"/>
            <w:vAlign w:val="center"/>
          </w:tcPr>
          <w:p>
            <w:pPr>
              <w:pStyle w:val="TableContents"/>
              <w:bidi w:val="0"/>
              <w:spacing w:before="0" w:after="283"/>
              <w:jc w:val="right"/>
              <w:rPr/>
            </w:pPr>
            <w:r>
              <w:rPr/>
              <w:t> </w:t>
            </w:r>
          </w:p>
        </w:tc>
        <w:tc>
          <w:tcPr>
            <w:tcW w:w="117" w:type="dxa"/>
            <w:tcBorders/>
            <w:shd w:fill="FFFFFF" w:val="clear"/>
            <w:vAlign w:val="center"/>
          </w:tcPr>
          <w:p>
            <w:pPr>
              <w:pStyle w:val="TableContents"/>
              <w:bidi w:val="0"/>
              <w:spacing w:before="0" w:after="283"/>
              <w:jc w:val="left"/>
              <w:rPr/>
            </w:pPr>
            <w:r>
              <w:rPr/>
              <w:t> </w:t>
            </w:r>
            <w:bookmarkStart w:id="125" w:name="xdx_405_eus-gaap--OperatingExpensesAbstr"/>
            <w:bookmarkEnd w:id="125"/>
          </w:p>
        </w:tc>
      </w:tr>
      <w:tr>
        <w:trPr/>
        <w:tc>
          <w:tcPr>
            <w:tcW w:w="3487" w:type="dxa"/>
            <w:tcBorders/>
            <w:shd w:fill="CCEEFF" w:val="clear"/>
            <w:vAlign w:val="center"/>
          </w:tcPr>
          <w:p>
            <w:pPr>
              <w:pStyle w:val="TableContents"/>
              <w:bidi w:val="0"/>
              <w:spacing w:before="0" w:after="283"/>
              <w:jc w:val="left"/>
              <w:rPr/>
            </w:pPr>
            <w:r>
              <w:rPr/>
              <w:t>Operating expenses:</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340" w:type="dxa"/>
            <w:tcBorders/>
            <w:shd w:fill="CCEEFF" w:val="clear"/>
            <w:vAlign w:val="center"/>
          </w:tcPr>
          <w:p>
            <w:pPr>
              <w:pStyle w:val="TableContents"/>
              <w:bidi w:val="0"/>
              <w:spacing w:before="0" w:after="283"/>
              <w:jc w:val="right"/>
              <w:rPr/>
            </w:pPr>
            <w:r>
              <w:rPr/>
              <w:t> </w:t>
            </w:r>
          </w:p>
        </w:tc>
        <w:tc>
          <w:tcPr>
            <w:tcW w:w="115"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34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 </w:t>
            </w:r>
          </w:p>
        </w:tc>
        <w:tc>
          <w:tcPr>
            <w:tcW w:w="1328" w:type="dxa"/>
            <w:tcBorders/>
            <w:shd w:fill="CCEEFF" w:val="clear"/>
            <w:vAlign w:val="center"/>
          </w:tcPr>
          <w:p>
            <w:pPr>
              <w:pStyle w:val="TableContents"/>
              <w:bidi w:val="0"/>
              <w:spacing w:before="0" w:after="283"/>
              <w:jc w:val="right"/>
              <w:rPr/>
            </w:pPr>
            <w:r>
              <w:rPr/>
              <w:t> </w:t>
            </w:r>
          </w:p>
        </w:tc>
        <w:tc>
          <w:tcPr>
            <w:tcW w:w="114"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 </w:t>
            </w:r>
          </w:p>
        </w:tc>
        <w:tc>
          <w:tcPr>
            <w:tcW w:w="1328" w:type="dxa"/>
            <w:tcBorders/>
            <w:shd w:fill="CCEEFF" w:val="clear"/>
            <w:vAlign w:val="center"/>
          </w:tcPr>
          <w:p>
            <w:pPr>
              <w:pStyle w:val="TableContents"/>
              <w:bidi w:val="0"/>
              <w:spacing w:before="0" w:after="283"/>
              <w:jc w:val="right"/>
              <w:rPr/>
            </w:pPr>
            <w:r>
              <w:rPr/>
              <w:t> </w:t>
            </w:r>
          </w:p>
        </w:tc>
        <w:tc>
          <w:tcPr>
            <w:tcW w:w="117" w:type="dxa"/>
            <w:tcBorders/>
            <w:shd w:fill="CCEEFF" w:val="clear"/>
            <w:vAlign w:val="center"/>
          </w:tcPr>
          <w:p>
            <w:pPr>
              <w:pStyle w:val="TableContents"/>
              <w:bidi w:val="0"/>
              <w:spacing w:before="0" w:after="283"/>
              <w:jc w:val="left"/>
              <w:rPr/>
            </w:pPr>
            <w:r>
              <w:rPr/>
              <w:t> </w:t>
            </w:r>
            <w:bookmarkStart w:id="126" w:name="xdx_40A_eus-gaap--ResearchAndDevelopment"/>
            <w:bookmarkEnd w:id="126"/>
          </w:p>
        </w:tc>
      </w:tr>
      <w:tr>
        <w:trPr/>
        <w:tc>
          <w:tcPr>
            <w:tcW w:w="3487" w:type="dxa"/>
            <w:tcBorders/>
            <w:shd w:fill="FFFFFF" w:val="clear"/>
            <w:vAlign w:val="center"/>
          </w:tcPr>
          <w:p>
            <w:pPr>
              <w:pStyle w:val="TableContents"/>
              <w:bidi w:val="0"/>
              <w:spacing w:before="0" w:after="283"/>
              <w:jc w:val="left"/>
              <w:rPr/>
            </w:pPr>
            <w:r>
              <w:rPr/>
              <w:t>Research and development</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pPr>
            <w:r>
              <w:rPr/>
              <w:t>6</w:t>
            </w:r>
          </w:p>
        </w:tc>
        <w:tc>
          <w:tcPr>
            <w:tcW w:w="115"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pPr>
            <w:r>
              <w:rPr/>
              <w:t>156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1328" w:type="dxa"/>
            <w:tcBorders/>
            <w:shd w:fill="FFFFFF" w:val="clear"/>
            <w:vAlign w:val="center"/>
          </w:tcPr>
          <w:p>
            <w:pPr>
              <w:pStyle w:val="TableContents"/>
              <w:bidi w:val="0"/>
              <w:spacing w:before="0" w:after="283"/>
              <w:jc w:val="right"/>
              <w:rPr/>
            </w:pPr>
            <w:r>
              <w:rPr/>
              <w:t>31</w:t>
            </w:r>
          </w:p>
        </w:tc>
        <w:tc>
          <w:tcPr>
            <w:tcW w:w="114"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1328" w:type="dxa"/>
            <w:tcBorders/>
            <w:shd w:fill="FFFFFF" w:val="clear"/>
            <w:vAlign w:val="center"/>
          </w:tcPr>
          <w:p>
            <w:pPr>
              <w:pStyle w:val="TableContents"/>
              <w:bidi w:val="0"/>
              <w:spacing w:before="0" w:after="283"/>
              <w:jc w:val="right"/>
              <w:rPr/>
            </w:pPr>
            <w:r>
              <w:rPr/>
              <w:t>736</w:t>
            </w:r>
          </w:p>
        </w:tc>
        <w:tc>
          <w:tcPr>
            <w:tcW w:w="117" w:type="dxa"/>
            <w:tcBorders/>
            <w:shd w:fill="FFFFFF" w:val="clear"/>
            <w:vAlign w:val="center"/>
          </w:tcPr>
          <w:p>
            <w:pPr>
              <w:pStyle w:val="TableContents"/>
              <w:bidi w:val="0"/>
              <w:spacing w:before="0" w:after="283"/>
              <w:jc w:val="left"/>
              <w:rPr/>
            </w:pPr>
            <w:r>
              <w:rPr/>
              <w:t> </w:t>
            </w:r>
            <w:bookmarkStart w:id="127" w:name="xdx_40B_eus-gaap--GeneralAndAdministrati"/>
            <w:bookmarkEnd w:id="127"/>
          </w:p>
        </w:tc>
      </w:tr>
      <w:tr>
        <w:trPr/>
        <w:tc>
          <w:tcPr>
            <w:tcW w:w="3487" w:type="dxa"/>
            <w:tcBorders/>
            <w:shd w:fill="CCEEFF" w:val="clear"/>
            <w:vAlign w:val="center"/>
          </w:tcPr>
          <w:p>
            <w:pPr>
              <w:pStyle w:val="TableContents"/>
              <w:bidi w:val="0"/>
              <w:spacing w:before="0" w:after="283"/>
              <w:jc w:val="left"/>
              <w:rPr/>
            </w:pPr>
            <w:r>
              <w:rPr/>
              <w:t>General and administrative</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340" w:type="dxa"/>
            <w:tcBorders/>
            <w:shd w:fill="CCEEFF" w:val="clear"/>
            <w:vAlign w:val="center"/>
          </w:tcPr>
          <w:p>
            <w:pPr>
              <w:pStyle w:val="TableContents"/>
              <w:bidi w:val="0"/>
              <w:spacing w:before="0" w:after="283"/>
              <w:jc w:val="right"/>
              <w:rPr/>
            </w:pPr>
            <w:r>
              <w:rPr/>
              <w:t>4,619</w:t>
            </w:r>
          </w:p>
        </w:tc>
        <w:tc>
          <w:tcPr>
            <w:tcW w:w="115"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340" w:type="dxa"/>
            <w:tcBorders/>
            <w:shd w:fill="CCEEFF" w:val="clear"/>
            <w:vAlign w:val="center"/>
          </w:tcPr>
          <w:p>
            <w:pPr>
              <w:pStyle w:val="TableContents"/>
              <w:bidi w:val="0"/>
              <w:spacing w:before="0" w:after="283"/>
              <w:jc w:val="right"/>
              <w:rPr/>
            </w:pPr>
            <w:r>
              <w:rPr/>
              <w:t>2,763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 </w:t>
            </w:r>
          </w:p>
        </w:tc>
        <w:tc>
          <w:tcPr>
            <w:tcW w:w="1328" w:type="dxa"/>
            <w:tcBorders/>
            <w:shd w:fill="CCEEFF" w:val="clear"/>
            <w:vAlign w:val="center"/>
          </w:tcPr>
          <w:p>
            <w:pPr>
              <w:pStyle w:val="TableContents"/>
              <w:bidi w:val="0"/>
              <w:spacing w:before="0" w:after="283"/>
              <w:jc w:val="right"/>
              <w:rPr/>
            </w:pPr>
            <w:r>
              <w:rPr/>
              <w:t>27,365</w:t>
            </w:r>
          </w:p>
        </w:tc>
        <w:tc>
          <w:tcPr>
            <w:tcW w:w="114"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 </w:t>
            </w:r>
          </w:p>
        </w:tc>
        <w:tc>
          <w:tcPr>
            <w:tcW w:w="1328" w:type="dxa"/>
            <w:tcBorders/>
            <w:shd w:fill="CCEEFF" w:val="clear"/>
            <w:vAlign w:val="center"/>
          </w:tcPr>
          <w:p>
            <w:pPr>
              <w:pStyle w:val="TableContents"/>
              <w:bidi w:val="0"/>
              <w:spacing w:before="0" w:after="283"/>
              <w:jc w:val="right"/>
              <w:rPr/>
            </w:pPr>
            <w:r>
              <w:rPr/>
              <w:t>10,559</w:t>
            </w:r>
          </w:p>
        </w:tc>
        <w:tc>
          <w:tcPr>
            <w:tcW w:w="117" w:type="dxa"/>
            <w:tcBorders/>
            <w:shd w:fill="CCEEFF" w:val="clear"/>
            <w:vAlign w:val="center"/>
          </w:tcPr>
          <w:p>
            <w:pPr>
              <w:pStyle w:val="TableContents"/>
              <w:bidi w:val="0"/>
              <w:spacing w:before="0" w:after="283"/>
              <w:jc w:val="left"/>
              <w:rPr/>
            </w:pPr>
            <w:r>
              <w:rPr/>
              <w:t> </w:t>
            </w:r>
            <w:bookmarkStart w:id="128" w:name="xdx_40E_eus-gaap--ImpairmentOfLongLivedA"/>
            <w:bookmarkEnd w:id="128"/>
          </w:p>
        </w:tc>
      </w:tr>
      <w:tr>
        <w:trPr/>
        <w:tc>
          <w:tcPr>
            <w:tcW w:w="3487" w:type="dxa"/>
            <w:tcBorders/>
            <w:shd w:fill="FFFFFF" w:val="clear"/>
            <w:vAlign w:val="center"/>
          </w:tcPr>
          <w:p>
            <w:pPr>
              <w:pStyle w:val="TableContents"/>
              <w:bidi w:val="0"/>
              <w:spacing w:before="0" w:after="283"/>
              <w:jc w:val="left"/>
              <w:rPr/>
            </w:pPr>
            <w:r>
              <w:rPr/>
              <w:t>Impairment of long term assets</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pPr>
            <w:r>
              <w:rPr/>
              <w:t>-</w:t>
            </w:r>
          </w:p>
        </w:tc>
        <w:tc>
          <w:tcPr>
            <w:tcW w:w="115"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1328" w:type="dxa"/>
            <w:tcBorders/>
            <w:shd w:fill="FFFFFF" w:val="clear"/>
            <w:vAlign w:val="center"/>
          </w:tcPr>
          <w:p>
            <w:pPr>
              <w:pStyle w:val="TableContents"/>
              <w:bidi w:val="0"/>
              <w:spacing w:before="0" w:after="283"/>
              <w:jc w:val="right"/>
              <w:rPr/>
            </w:pPr>
            <w:r>
              <w:rPr/>
              <w:t>-</w:t>
            </w:r>
          </w:p>
        </w:tc>
        <w:tc>
          <w:tcPr>
            <w:tcW w:w="114"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1328" w:type="dxa"/>
            <w:tcBorders/>
            <w:shd w:fill="FFFFFF" w:val="clear"/>
            <w:vAlign w:val="center"/>
          </w:tcPr>
          <w:p>
            <w:pPr>
              <w:pStyle w:val="TableContents"/>
              <w:bidi w:val="0"/>
              <w:spacing w:before="0" w:after="283"/>
              <w:jc w:val="right"/>
              <w:rPr/>
            </w:pPr>
            <w:r>
              <w:rPr/>
              <w:t>253</w:t>
            </w:r>
          </w:p>
        </w:tc>
        <w:tc>
          <w:tcPr>
            <w:tcW w:w="117" w:type="dxa"/>
            <w:tcBorders/>
            <w:shd w:fill="FFFFFF" w:val="clear"/>
            <w:vAlign w:val="center"/>
          </w:tcPr>
          <w:p>
            <w:pPr>
              <w:pStyle w:val="TableContents"/>
              <w:bidi w:val="0"/>
              <w:spacing w:before="0" w:after="283"/>
              <w:jc w:val="left"/>
              <w:rPr/>
            </w:pPr>
            <w:r>
              <w:rPr/>
              <w:t> </w:t>
            </w:r>
            <w:bookmarkStart w:id="129" w:name="xdx_408_eus-gaap--DepreciationAndAmortiz"/>
            <w:bookmarkEnd w:id="129"/>
          </w:p>
        </w:tc>
      </w:tr>
      <w:tr>
        <w:trPr/>
        <w:tc>
          <w:tcPr>
            <w:tcW w:w="3487" w:type="dxa"/>
            <w:tcBorders/>
            <w:shd w:fill="CCEEFF" w:val="clear"/>
            <w:vAlign w:val="center"/>
          </w:tcPr>
          <w:p>
            <w:pPr>
              <w:pStyle w:val="TableContents"/>
              <w:bidi w:val="0"/>
              <w:spacing w:before="0" w:after="283"/>
              <w:jc w:val="left"/>
              <w:rPr/>
            </w:pPr>
            <w:r>
              <w:rPr/>
              <w:t>Depreciation and amortization</w:t>
            </w:r>
          </w:p>
        </w:tc>
        <w:tc>
          <w:tcPr>
            <w:tcW w:w="60" w:type="dxa"/>
            <w:tcBorders/>
            <w:shd w:fill="CCEEFF" w:val="clear"/>
            <w:vAlign w:val="center"/>
          </w:tcPr>
          <w:p>
            <w:pPr>
              <w:pStyle w:val="TableContents"/>
              <w:bidi w:val="0"/>
              <w:spacing w:before="0" w:after="283"/>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40" w:type="dxa"/>
            <w:tcBorders>
              <w:bottom w:val="single" w:sz="8" w:space="0" w:color="000000"/>
            </w:tcBorders>
            <w:shd w:fill="CCEEFF" w:val="clear"/>
            <w:tcMar>
              <w:bottom w:w="28" w:type="dxa"/>
            </w:tcMar>
            <w:vAlign w:val="center"/>
          </w:tcPr>
          <w:p>
            <w:pPr>
              <w:pStyle w:val="TableContents"/>
              <w:bidi w:val="0"/>
              <w:spacing w:before="0" w:after="283"/>
              <w:jc w:val="right"/>
              <w:rPr/>
            </w:pPr>
            <w:r>
              <w:rPr/>
              <w:t>1,488</w:t>
            </w:r>
          </w:p>
        </w:tc>
        <w:tc>
          <w:tcPr>
            <w:tcW w:w="115"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40" w:type="dxa"/>
            <w:tcBorders>
              <w:bottom w:val="single" w:sz="8" w:space="0" w:color="000000"/>
            </w:tcBorders>
            <w:shd w:fill="CCEEFF" w:val="clear"/>
            <w:tcMar>
              <w:bottom w:w="28" w:type="dxa"/>
            </w:tcMar>
            <w:vAlign w:val="center"/>
          </w:tcPr>
          <w:p>
            <w:pPr>
              <w:pStyle w:val="TableContents"/>
              <w:bidi w:val="0"/>
              <w:spacing w:before="0" w:after="283"/>
              <w:jc w:val="right"/>
              <w:rPr/>
            </w:pPr>
            <w:r>
              <w:rPr/>
              <w:t>31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28" w:type="dxa"/>
            <w:tcBorders>
              <w:bottom w:val="single" w:sz="8" w:space="0" w:color="000000"/>
            </w:tcBorders>
            <w:shd w:fill="CCEEFF" w:val="clear"/>
            <w:tcMar>
              <w:bottom w:w="28" w:type="dxa"/>
            </w:tcMar>
            <w:vAlign w:val="center"/>
          </w:tcPr>
          <w:p>
            <w:pPr>
              <w:pStyle w:val="TableContents"/>
              <w:bidi w:val="0"/>
              <w:spacing w:before="0" w:after="283"/>
              <w:jc w:val="right"/>
              <w:rPr/>
            </w:pPr>
            <w:r>
              <w:rPr/>
              <w:t>2,065</w:t>
            </w:r>
          </w:p>
        </w:tc>
        <w:tc>
          <w:tcPr>
            <w:tcW w:w="114"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6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28" w:type="dxa"/>
            <w:tcBorders>
              <w:bottom w:val="single" w:sz="8" w:space="0" w:color="000000"/>
            </w:tcBorders>
            <w:shd w:fill="CCEEFF" w:val="clear"/>
            <w:tcMar>
              <w:bottom w:w="28" w:type="dxa"/>
            </w:tcMar>
            <w:vAlign w:val="center"/>
          </w:tcPr>
          <w:p>
            <w:pPr>
              <w:pStyle w:val="TableContents"/>
              <w:bidi w:val="0"/>
              <w:spacing w:before="0" w:after="283"/>
              <w:jc w:val="right"/>
              <w:rPr/>
            </w:pPr>
            <w:r>
              <w:rPr/>
              <w:t>158</w:t>
            </w:r>
          </w:p>
        </w:tc>
        <w:tc>
          <w:tcPr>
            <w:tcW w:w="117" w:type="dxa"/>
            <w:tcBorders/>
            <w:shd w:fill="CCEEFF" w:val="clear"/>
            <w:vAlign w:val="center"/>
          </w:tcPr>
          <w:p>
            <w:pPr>
              <w:pStyle w:val="TableContents"/>
              <w:bidi w:val="0"/>
              <w:spacing w:before="0" w:after="283"/>
              <w:jc w:val="left"/>
              <w:rPr/>
            </w:pPr>
            <w:r>
              <w:rPr/>
              <w:t> </w:t>
            </w:r>
            <w:bookmarkStart w:id="130" w:name="xdx_407_eus-gaap--OperatingExpenses_i01T"/>
            <w:bookmarkEnd w:id="130"/>
          </w:p>
        </w:tc>
      </w:tr>
      <w:tr>
        <w:trPr/>
        <w:tc>
          <w:tcPr>
            <w:tcW w:w="3487" w:type="dxa"/>
            <w:tcBorders/>
            <w:shd w:fill="FFFFFF" w:val="clear"/>
            <w:vAlign w:val="center"/>
          </w:tcPr>
          <w:p>
            <w:pPr>
              <w:pStyle w:val="TableContents"/>
              <w:bidi w:val="0"/>
              <w:spacing w:before="0" w:after="283"/>
              <w:jc w:val="left"/>
              <w:rPr/>
            </w:pPr>
            <w:r>
              <w:rPr/>
              <w:t>Total operating expenses</w:t>
            </w:r>
          </w:p>
        </w:tc>
        <w:tc>
          <w:tcPr>
            <w:tcW w:w="60" w:type="dxa"/>
            <w:tcBorders/>
            <w:shd w:fill="FFFFFF" w:val="clear"/>
            <w:vAlign w:val="center"/>
          </w:tcPr>
          <w:p>
            <w:pPr>
              <w:pStyle w:val="TableContents"/>
              <w:bidi w:val="0"/>
              <w:spacing w:before="0" w:after="283"/>
              <w:jc w:val="left"/>
              <w:rPr/>
            </w:pPr>
            <w:r>
              <w:rPr/>
              <w:t> </w:t>
            </w:r>
          </w:p>
        </w:tc>
        <w:tc>
          <w:tcPr>
            <w:tcW w:w="17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40" w:type="dxa"/>
            <w:tcBorders>
              <w:bottom w:val="single" w:sz="8" w:space="0" w:color="000000"/>
            </w:tcBorders>
            <w:shd w:fill="FFFFFF" w:val="clear"/>
            <w:tcMar>
              <w:bottom w:w="28" w:type="dxa"/>
            </w:tcMar>
            <w:vAlign w:val="center"/>
          </w:tcPr>
          <w:p>
            <w:pPr>
              <w:pStyle w:val="TableContents"/>
              <w:bidi w:val="0"/>
              <w:spacing w:before="0" w:after="283"/>
              <w:jc w:val="right"/>
              <w:rPr/>
            </w:pPr>
            <w:r>
              <w:rPr/>
              <w:t>6,113</w:t>
            </w:r>
          </w:p>
        </w:tc>
        <w:tc>
          <w:tcPr>
            <w:tcW w:w="115"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17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40" w:type="dxa"/>
            <w:tcBorders>
              <w:bottom w:val="single" w:sz="8" w:space="0" w:color="000000"/>
            </w:tcBorders>
            <w:shd w:fill="FFFFFF" w:val="clear"/>
            <w:tcMar>
              <w:bottom w:w="28" w:type="dxa"/>
            </w:tcMar>
            <w:vAlign w:val="center"/>
          </w:tcPr>
          <w:p>
            <w:pPr>
              <w:pStyle w:val="TableContents"/>
              <w:bidi w:val="0"/>
              <w:spacing w:before="0" w:after="283"/>
              <w:jc w:val="right"/>
              <w:rPr/>
            </w:pPr>
            <w:r>
              <w:rPr/>
              <w:t>2,950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28" w:type="dxa"/>
            <w:tcBorders>
              <w:bottom w:val="single" w:sz="8" w:space="0" w:color="000000"/>
            </w:tcBorders>
            <w:shd w:fill="FFFFFF" w:val="clear"/>
            <w:tcMar>
              <w:bottom w:w="28" w:type="dxa"/>
            </w:tcMar>
            <w:vAlign w:val="center"/>
          </w:tcPr>
          <w:p>
            <w:pPr>
              <w:pStyle w:val="TableContents"/>
              <w:bidi w:val="0"/>
              <w:spacing w:before="0" w:after="283"/>
              <w:jc w:val="right"/>
              <w:rPr/>
            </w:pPr>
            <w:r>
              <w:rPr/>
              <w:t>29,461</w:t>
            </w:r>
          </w:p>
        </w:tc>
        <w:tc>
          <w:tcPr>
            <w:tcW w:w="114"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6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28" w:type="dxa"/>
            <w:tcBorders>
              <w:bottom w:val="single" w:sz="8" w:space="0" w:color="000000"/>
            </w:tcBorders>
            <w:shd w:fill="FFFFFF" w:val="clear"/>
            <w:tcMar>
              <w:bottom w:w="28" w:type="dxa"/>
            </w:tcMar>
            <w:vAlign w:val="center"/>
          </w:tcPr>
          <w:p>
            <w:pPr>
              <w:pStyle w:val="TableContents"/>
              <w:bidi w:val="0"/>
              <w:spacing w:before="0" w:after="283"/>
              <w:jc w:val="right"/>
              <w:rPr/>
            </w:pPr>
            <w:r>
              <w:rPr/>
              <w:t>11,706</w:t>
            </w:r>
          </w:p>
        </w:tc>
        <w:tc>
          <w:tcPr>
            <w:tcW w:w="117" w:type="dxa"/>
            <w:tcBorders/>
            <w:shd w:fill="FFFFFF" w:val="clear"/>
            <w:vAlign w:val="center"/>
          </w:tcPr>
          <w:p>
            <w:pPr>
              <w:pStyle w:val="TableContents"/>
              <w:bidi w:val="0"/>
              <w:spacing w:before="0" w:after="283"/>
              <w:jc w:val="left"/>
              <w:rPr/>
            </w:pPr>
            <w:r>
              <w:rPr/>
              <w:t> </w:t>
            </w:r>
          </w:p>
        </w:tc>
      </w:tr>
      <w:tr>
        <w:trPr/>
        <w:tc>
          <w:tcPr>
            <w:tcW w:w="348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340" w:type="dxa"/>
            <w:tcBorders/>
            <w:shd w:fill="CCEEFF" w:val="clear"/>
            <w:vAlign w:val="center"/>
          </w:tcPr>
          <w:p>
            <w:pPr>
              <w:pStyle w:val="TableContents"/>
              <w:bidi w:val="0"/>
              <w:spacing w:before="0" w:after="283"/>
              <w:jc w:val="right"/>
              <w:rPr/>
            </w:pPr>
            <w:r>
              <w:rPr/>
              <w:t> </w:t>
            </w:r>
          </w:p>
        </w:tc>
        <w:tc>
          <w:tcPr>
            <w:tcW w:w="115"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34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 </w:t>
            </w:r>
          </w:p>
        </w:tc>
        <w:tc>
          <w:tcPr>
            <w:tcW w:w="1328" w:type="dxa"/>
            <w:tcBorders/>
            <w:shd w:fill="CCEEFF" w:val="clear"/>
            <w:vAlign w:val="center"/>
          </w:tcPr>
          <w:p>
            <w:pPr>
              <w:pStyle w:val="TableContents"/>
              <w:bidi w:val="0"/>
              <w:spacing w:before="0" w:after="283"/>
              <w:jc w:val="right"/>
              <w:rPr/>
            </w:pPr>
            <w:r>
              <w:rPr/>
              <w:t> </w:t>
            </w:r>
          </w:p>
        </w:tc>
        <w:tc>
          <w:tcPr>
            <w:tcW w:w="114"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 </w:t>
            </w:r>
          </w:p>
        </w:tc>
        <w:tc>
          <w:tcPr>
            <w:tcW w:w="1328" w:type="dxa"/>
            <w:tcBorders/>
            <w:shd w:fill="CCEEFF" w:val="clear"/>
            <w:vAlign w:val="center"/>
          </w:tcPr>
          <w:p>
            <w:pPr>
              <w:pStyle w:val="TableContents"/>
              <w:bidi w:val="0"/>
              <w:spacing w:before="0" w:after="283"/>
              <w:jc w:val="right"/>
              <w:rPr/>
            </w:pPr>
            <w:r>
              <w:rPr/>
              <w:t> </w:t>
            </w:r>
          </w:p>
        </w:tc>
        <w:tc>
          <w:tcPr>
            <w:tcW w:w="117" w:type="dxa"/>
            <w:tcBorders/>
            <w:shd w:fill="CCEEFF" w:val="clear"/>
            <w:vAlign w:val="center"/>
          </w:tcPr>
          <w:p>
            <w:pPr>
              <w:pStyle w:val="TableContents"/>
              <w:bidi w:val="0"/>
              <w:spacing w:before="0" w:after="283"/>
              <w:jc w:val="left"/>
              <w:rPr/>
            </w:pPr>
            <w:r>
              <w:rPr/>
              <w:t> </w:t>
            </w:r>
            <w:bookmarkStart w:id="131" w:name="xdx_409_eus-gaap--OperatingIncomeLoss_iT"/>
            <w:bookmarkEnd w:id="131"/>
          </w:p>
        </w:tc>
      </w:tr>
      <w:tr>
        <w:trPr/>
        <w:tc>
          <w:tcPr>
            <w:tcW w:w="3487" w:type="dxa"/>
            <w:tcBorders/>
            <w:shd w:fill="FFFFFF" w:val="clear"/>
            <w:vAlign w:val="center"/>
          </w:tcPr>
          <w:p>
            <w:pPr>
              <w:pStyle w:val="TableContents"/>
              <w:bidi w:val="0"/>
              <w:spacing w:before="0" w:after="283"/>
              <w:jc w:val="left"/>
              <w:rPr>
                <w:b/>
              </w:rPr>
            </w:pPr>
            <w:r>
              <w:rPr>
                <w:b/>
              </w:rPr>
              <w:t>Loss from operations</w:t>
            </w:r>
          </w:p>
        </w:tc>
        <w:tc>
          <w:tcPr>
            <w:tcW w:w="60" w:type="dxa"/>
            <w:tcBorders/>
            <w:shd w:fill="FFFFFF" w:val="clear"/>
            <w:vAlign w:val="center"/>
          </w:tcPr>
          <w:p>
            <w:pPr>
              <w:pStyle w:val="TableContents"/>
              <w:bidi w:val="0"/>
              <w:spacing w:before="0" w:after="283"/>
              <w:jc w:val="left"/>
              <w:rPr/>
            </w:pPr>
            <w:r>
              <w:rPr/>
              <w:t> </w:t>
            </w:r>
          </w:p>
        </w:tc>
        <w:tc>
          <w:tcPr>
            <w:tcW w:w="17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40"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(6,113</w:t>
            </w:r>
          </w:p>
        </w:tc>
        <w:tc>
          <w:tcPr>
            <w:tcW w:w="115" w:type="dxa"/>
            <w:tcBorders/>
            <w:shd w:fill="FFFFFF" w:val="clear"/>
            <w:vAlign w:val="center"/>
          </w:tcPr>
          <w:p>
            <w:pPr>
              <w:pStyle w:val="TableContents"/>
              <w:bidi w:val="0"/>
              <w:spacing w:before="0" w:after="283"/>
              <w:jc w:val="left"/>
              <w:rPr>
                <w:b/>
              </w:rPr>
            </w:pPr>
            <w:r>
              <w:rPr>
                <w:b/>
              </w:rPr>
              <w:t>)</w:t>
            </w:r>
          </w:p>
        </w:tc>
        <w:tc>
          <w:tcPr>
            <w:tcW w:w="73" w:type="dxa"/>
            <w:tcBorders/>
            <w:shd w:fill="FFFFFF" w:val="clear"/>
            <w:vAlign w:val="center"/>
          </w:tcPr>
          <w:p>
            <w:pPr>
              <w:pStyle w:val="TableContents"/>
              <w:bidi w:val="0"/>
              <w:spacing w:before="0" w:after="283"/>
              <w:jc w:val="left"/>
              <w:rPr/>
            </w:pPr>
            <w:r>
              <w:rPr/>
              <w:t> </w:t>
            </w:r>
          </w:p>
        </w:tc>
        <w:tc>
          <w:tcPr>
            <w:tcW w:w="17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40"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(2,950</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16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28"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(29,461</w:t>
            </w:r>
          </w:p>
        </w:tc>
        <w:tc>
          <w:tcPr>
            <w:tcW w:w="114" w:type="dxa"/>
            <w:tcBorders/>
            <w:shd w:fill="FFFFFF" w:val="clear"/>
            <w:vAlign w:val="center"/>
          </w:tcPr>
          <w:p>
            <w:pPr>
              <w:pStyle w:val="TableContents"/>
              <w:bidi w:val="0"/>
              <w:spacing w:before="0" w:after="283"/>
              <w:jc w:val="left"/>
              <w:rPr>
                <w:b/>
              </w:rPr>
            </w:pPr>
            <w:r>
              <w:rPr>
                <w:b/>
              </w:rPr>
              <w:t>)</w:t>
            </w:r>
          </w:p>
        </w:tc>
        <w:tc>
          <w:tcPr>
            <w:tcW w:w="72" w:type="dxa"/>
            <w:tcBorders/>
            <w:shd w:fill="FFFFFF" w:val="clear"/>
            <w:vAlign w:val="center"/>
          </w:tcPr>
          <w:p>
            <w:pPr>
              <w:pStyle w:val="TableContents"/>
              <w:bidi w:val="0"/>
              <w:spacing w:before="0" w:after="283"/>
              <w:jc w:val="left"/>
              <w:rPr/>
            </w:pPr>
            <w:r>
              <w:rPr/>
              <w:t> </w:t>
            </w:r>
          </w:p>
        </w:tc>
        <w:tc>
          <w:tcPr>
            <w:tcW w:w="16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28"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(11,679</w:t>
            </w:r>
          </w:p>
        </w:tc>
        <w:tc>
          <w:tcPr>
            <w:tcW w:w="117" w:type="dxa"/>
            <w:tcBorders/>
            <w:shd w:fill="FFFFFF" w:val="clear"/>
            <w:vAlign w:val="center"/>
          </w:tcPr>
          <w:p>
            <w:pPr>
              <w:pStyle w:val="TableContents"/>
              <w:bidi w:val="0"/>
              <w:spacing w:before="0" w:after="283"/>
              <w:jc w:val="left"/>
              <w:rPr>
                <w:b/>
              </w:rPr>
            </w:pPr>
            <w:r>
              <w:rPr>
                <w:b/>
              </w:rPr>
              <w:t>)</w:t>
            </w:r>
          </w:p>
        </w:tc>
      </w:tr>
      <w:tr>
        <w:trPr/>
        <w:tc>
          <w:tcPr>
            <w:tcW w:w="348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340" w:type="dxa"/>
            <w:tcBorders/>
            <w:shd w:fill="CCEEFF" w:val="clear"/>
            <w:vAlign w:val="center"/>
          </w:tcPr>
          <w:p>
            <w:pPr>
              <w:pStyle w:val="TableContents"/>
              <w:bidi w:val="0"/>
              <w:spacing w:before="0" w:after="283"/>
              <w:jc w:val="right"/>
              <w:rPr/>
            </w:pPr>
            <w:r>
              <w:rPr/>
              <w:t> </w:t>
            </w:r>
          </w:p>
        </w:tc>
        <w:tc>
          <w:tcPr>
            <w:tcW w:w="115"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34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 </w:t>
            </w:r>
          </w:p>
        </w:tc>
        <w:tc>
          <w:tcPr>
            <w:tcW w:w="1328" w:type="dxa"/>
            <w:tcBorders/>
            <w:shd w:fill="CCEEFF" w:val="clear"/>
            <w:vAlign w:val="center"/>
          </w:tcPr>
          <w:p>
            <w:pPr>
              <w:pStyle w:val="TableContents"/>
              <w:bidi w:val="0"/>
              <w:spacing w:before="0" w:after="283"/>
              <w:jc w:val="right"/>
              <w:rPr/>
            </w:pPr>
            <w:r>
              <w:rPr/>
              <w:t> </w:t>
            </w:r>
          </w:p>
        </w:tc>
        <w:tc>
          <w:tcPr>
            <w:tcW w:w="114"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 </w:t>
            </w:r>
          </w:p>
        </w:tc>
        <w:tc>
          <w:tcPr>
            <w:tcW w:w="1328" w:type="dxa"/>
            <w:tcBorders/>
            <w:shd w:fill="CCEEFF" w:val="clear"/>
            <w:vAlign w:val="center"/>
          </w:tcPr>
          <w:p>
            <w:pPr>
              <w:pStyle w:val="TableContents"/>
              <w:bidi w:val="0"/>
              <w:spacing w:before="0" w:after="283"/>
              <w:jc w:val="right"/>
              <w:rPr/>
            </w:pPr>
            <w:r>
              <w:rPr/>
              <w:t> </w:t>
            </w:r>
          </w:p>
        </w:tc>
        <w:tc>
          <w:tcPr>
            <w:tcW w:w="117" w:type="dxa"/>
            <w:tcBorders/>
            <w:shd w:fill="CCEEFF" w:val="clear"/>
            <w:vAlign w:val="center"/>
          </w:tcPr>
          <w:p>
            <w:pPr>
              <w:pStyle w:val="TableContents"/>
              <w:bidi w:val="0"/>
              <w:spacing w:before="0" w:after="283"/>
              <w:jc w:val="left"/>
              <w:rPr/>
            </w:pPr>
            <w:r>
              <w:rPr/>
              <w:t> </w:t>
            </w:r>
            <w:bookmarkStart w:id="132" w:name="xdx_404_eus-gaap--NonoperatingIncomeExpe"/>
            <w:bookmarkEnd w:id="132"/>
          </w:p>
        </w:tc>
      </w:tr>
      <w:tr>
        <w:trPr/>
        <w:tc>
          <w:tcPr>
            <w:tcW w:w="3487" w:type="dxa"/>
            <w:tcBorders/>
            <w:shd w:fill="FFFFFF" w:val="clear"/>
            <w:vAlign w:val="center"/>
          </w:tcPr>
          <w:p>
            <w:pPr>
              <w:pStyle w:val="TableContents"/>
              <w:bidi w:val="0"/>
              <w:spacing w:before="0" w:after="283"/>
              <w:jc w:val="left"/>
              <w:rPr/>
            </w:pPr>
            <w:r>
              <w:rPr/>
              <w:t>Other income (expense):</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pPr>
            <w:r>
              <w:rPr/>
              <w:t> </w:t>
            </w:r>
          </w:p>
        </w:tc>
        <w:tc>
          <w:tcPr>
            <w:tcW w:w="115"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1328" w:type="dxa"/>
            <w:tcBorders/>
            <w:shd w:fill="FFFFFF" w:val="clear"/>
            <w:vAlign w:val="center"/>
          </w:tcPr>
          <w:p>
            <w:pPr>
              <w:pStyle w:val="TableContents"/>
              <w:bidi w:val="0"/>
              <w:spacing w:before="0" w:after="283"/>
              <w:jc w:val="right"/>
              <w:rPr/>
            </w:pPr>
            <w:r>
              <w:rPr/>
              <w:t> </w:t>
            </w:r>
          </w:p>
        </w:tc>
        <w:tc>
          <w:tcPr>
            <w:tcW w:w="114"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1328" w:type="dxa"/>
            <w:tcBorders/>
            <w:shd w:fill="FFFFFF" w:val="clear"/>
            <w:vAlign w:val="center"/>
          </w:tcPr>
          <w:p>
            <w:pPr>
              <w:pStyle w:val="TableContents"/>
              <w:bidi w:val="0"/>
              <w:spacing w:before="0" w:after="283"/>
              <w:jc w:val="right"/>
              <w:rPr/>
            </w:pPr>
            <w:r>
              <w:rPr/>
              <w:t> </w:t>
            </w:r>
          </w:p>
        </w:tc>
        <w:tc>
          <w:tcPr>
            <w:tcW w:w="117" w:type="dxa"/>
            <w:tcBorders/>
            <w:shd w:fill="FFFFFF" w:val="clear"/>
            <w:vAlign w:val="center"/>
          </w:tcPr>
          <w:p>
            <w:pPr>
              <w:pStyle w:val="TableContents"/>
              <w:bidi w:val="0"/>
              <w:spacing w:before="0" w:after="283"/>
              <w:jc w:val="left"/>
              <w:rPr/>
            </w:pPr>
            <w:r>
              <w:rPr/>
              <w:t> </w:t>
            </w:r>
            <w:bookmarkStart w:id="133" w:name="xdx_40F_eus-gaap--InterestIncomeExpenseN"/>
            <w:bookmarkEnd w:id="133"/>
          </w:p>
        </w:tc>
      </w:tr>
      <w:tr>
        <w:trPr/>
        <w:tc>
          <w:tcPr>
            <w:tcW w:w="3487" w:type="dxa"/>
            <w:tcBorders/>
            <w:shd w:fill="CCEEFF" w:val="clear"/>
            <w:vAlign w:val="center"/>
          </w:tcPr>
          <w:p>
            <w:pPr>
              <w:pStyle w:val="TableContents"/>
              <w:bidi w:val="0"/>
              <w:spacing w:before="0" w:after="283"/>
              <w:jc w:val="left"/>
              <w:rPr/>
            </w:pPr>
            <w:r>
              <w:rPr/>
              <w:t>Interest income, net</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340" w:type="dxa"/>
            <w:tcBorders/>
            <w:shd w:fill="CCEEFF" w:val="clear"/>
            <w:vAlign w:val="center"/>
          </w:tcPr>
          <w:p>
            <w:pPr>
              <w:pStyle w:val="TableContents"/>
              <w:bidi w:val="0"/>
              <w:spacing w:before="0" w:after="283"/>
              <w:jc w:val="right"/>
              <w:rPr/>
            </w:pPr>
            <w:r>
              <w:rPr/>
              <w:t>(10</w:t>
            </w:r>
          </w:p>
        </w:tc>
        <w:tc>
          <w:tcPr>
            <w:tcW w:w="115" w:type="dxa"/>
            <w:tcBorders/>
            <w:shd w:fill="CCEEFF" w:val="clear"/>
            <w:vAlign w:val="center"/>
          </w:tcPr>
          <w:p>
            <w:pPr>
              <w:pStyle w:val="TableContents"/>
              <w:bidi w:val="0"/>
              <w:spacing w:before="0" w:after="283"/>
              <w:jc w:val="left"/>
              <w:rPr/>
            </w:pPr>
            <w:r>
              <w:rPr/>
              <w:t>)</w:t>
            </w:r>
          </w:p>
        </w:tc>
        <w:tc>
          <w:tcPr>
            <w:tcW w:w="73"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34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 </w:t>
            </w:r>
          </w:p>
        </w:tc>
        <w:tc>
          <w:tcPr>
            <w:tcW w:w="1328" w:type="dxa"/>
            <w:tcBorders/>
            <w:shd w:fill="CCEEFF" w:val="clear"/>
            <w:vAlign w:val="center"/>
          </w:tcPr>
          <w:p>
            <w:pPr>
              <w:pStyle w:val="TableContents"/>
              <w:bidi w:val="0"/>
              <w:spacing w:before="0" w:after="283"/>
              <w:jc w:val="right"/>
              <w:rPr/>
            </w:pPr>
            <w:r>
              <w:rPr/>
              <w:t>3</w:t>
            </w:r>
          </w:p>
        </w:tc>
        <w:tc>
          <w:tcPr>
            <w:tcW w:w="114"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 </w:t>
            </w:r>
          </w:p>
        </w:tc>
        <w:tc>
          <w:tcPr>
            <w:tcW w:w="1328" w:type="dxa"/>
            <w:tcBorders/>
            <w:shd w:fill="CCEEFF" w:val="clear"/>
            <w:vAlign w:val="center"/>
          </w:tcPr>
          <w:p>
            <w:pPr>
              <w:pStyle w:val="TableContents"/>
              <w:bidi w:val="0"/>
              <w:spacing w:before="0" w:after="283"/>
              <w:jc w:val="right"/>
              <w:rPr/>
            </w:pPr>
            <w:r>
              <w:rPr/>
              <w:t>(8</w:t>
            </w:r>
          </w:p>
        </w:tc>
        <w:tc>
          <w:tcPr>
            <w:tcW w:w="117" w:type="dxa"/>
            <w:tcBorders/>
            <w:shd w:fill="CCEEFF" w:val="clear"/>
            <w:vAlign w:val="center"/>
          </w:tcPr>
          <w:p>
            <w:pPr>
              <w:pStyle w:val="TableContents"/>
              <w:bidi w:val="0"/>
              <w:spacing w:before="0" w:after="283"/>
              <w:jc w:val="left"/>
              <w:rPr/>
            </w:pPr>
            <w:r>
              <w:rPr/>
              <w:t>)</w:t>
            </w:r>
            <w:bookmarkStart w:id="134" w:name="xdx_405_ecustom--ChangeInFairValueOfDeri"/>
            <w:bookmarkEnd w:id="134"/>
          </w:p>
        </w:tc>
      </w:tr>
      <w:tr>
        <w:trPr/>
        <w:tc>
          <w:tcPr>
            <w:tcW w:w="3487" w:type="dxa"/>
            <w:tcBorders/>
            <w:shd w:fill="FFFFFF" w:val="clear"/>
            <w:vAlign w:val="center"/>
          </w:tcPr>
          <w:p>
            <w:pPr>
              <w:pStyle w:val="TableContents"/>
              <w:bidi w:val="0"/>
              <w:spacing w:before="0" w:after="283"/>
              <w:jc w:val="left"/>
              <w:rPr/>
            </w:pPr>
            <w:r>
              <w:rPr/>
              <w:t>Change in fair value of derivative liability</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pPr>
            <w:r>
              <w:rPr/>
              <w:t>(10,214</w:t>
            </w:r>
          </w:p>
        </w:tc>
        <w:tc>
          <w:tcPr>
            <w:tcW w:w="115" w:type="dxa"/>
            <w:tcBorders/>
            <w:shd w:fill="FFFFFF" w:val="clear"/>
            <w:vAlign w:val="center"/>
          </w:tcPr>
          <w:p>
            <w:pPr>
              <w:pStyle w:val="TableContents"/>
              <w:bidi w:val="0"/>
              <w:spacing w:before="0" w:after="283"/>
              <w:jc w:val="left"/>
              <w:rPr/>
            </w:pPr>
            <w:r>
              <w:rPr/>
              <w:t>)</w:t>
            </w:r>
          </w:p>
        </w:tc>
        <w:tc>
          <w:tcPr>
            <w:tcW w:w="73"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1328" w:type="dxa"/>
            <w:tcBorders/>
            <w:shd w:fill="FFFFFF" w:val="clear"/>
            <w:vAlign w:val="center"/>
          </w:tcPr>
          <w:p>
            <w:pPr>
              <w:pStyle w:val="TableContents"/>
              <w:bidi w:val="0"/>
              <w:spacing w:before="0" w:after="283"/>
              <w:jc w:val="right"/>
              <w:rPr/>
            </w:pPr>
            <w:r>
              <w:rPr/>
              <w:t>(10,214</w:t>
            </w:r>
          </w:p>
        </w:tc>
        <w:tc>
          <w:tcPr>
            <w:tcW w:w="114" w:type="dxa"/>
            <w:tcBorders/>
            <w:shd w:fill="FFFFFF" w:val="clear"/>
            <w:vAlign w:val="center"/>
          </w:tcPr>
          <w:p>
            <w:pPr>
              <w:pStyle w:val="TableContents"/>
              <w:bidi w:val="0"/>
              <w:spacing w:before="0" w:after="283"/>
              <w:jc w:val="left"/>
              <w:rPr/>
            </w:pPr>
            <w:r>
              <w:rPr/>
              <w:t>)</w:t>
            </w:r>
          </w:p>
        </w:tc>
        <w:tc>
          <w:tcPr>
            <w:tcW w:w="72"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1328" w:type="dxa"/>
            <w:tcBorders/>
            <w:shd w:fill="FFFFFF" w:val="clear"/>
            <w:vAlign w:val="center"/>
          </w:tcPr>
          <w:p>
            <w:pPr>
              <w:pStyle w:val="TableContents"/>
              <w:bidi w:val="0"/>
              <w:spacing w:before="0" w:after="283"/>
              <w:jc w:val="right"/>
              <w:rPr/>
            </w:pPr>
            <w:r>
              <w:rPr/>
              <w:t>-</w:t>
            </w:r>
          </w:p>
        </w:tc>
        <w:tc>
          <w:tcPr>
            <w:tcW w:w="117" w:type="dxa"/>
            <w:tcBorders/>
            <w:shd w:fill="FFFFFF" w:val="clear"/>
            <w:vAlign w:val="center"/>
          </w:tcPr>
          <w:p>
            <w:pPr>
              <w:pStyle w:val="TableContents"/>
              <w:bidi w:val="0"/>
              <w:spacing w:before="0" w:after="283"/>
              <w:jc w:val="left"/>
              <w:rPr/>
            </w:pPr>
            <w:r>
              <w:rPr/>
              <w:t> </w:t>
            </w:r>
            <w:bookmarkStart w:id="135" w:name="xdx_406_ecustom--GainLossOnSettlementAnd"/>
            <w:bookmarkEnd w:id="135"/>
          </w:p>
        </w:tc>
      </w:tr>
      <w:tr>
        <w:trPr/>
        <w:tc>
          <w:tcPr>
            <w:tcW w:w="3487" w:type="dxa"/>
            <w:tcBorders/>
            <w:shd w:fill="CCEEFF" w:val="clear"/>
            <w:vAlign w:val="center"/>
          </w:tcPr>
          <w:p>
            <w:pPr>
              <w:pStyle w:val="TableContents"/>
              <w:bidi w:val="0"/>
              <w:spacing w:before="0" w:after="283"/>
              <w:jc w:val="left"/>
              <w:rPr/>
            </w:pPr>
            <w:r>
              <w:rPr/>
              <w:t>Gain on settlement and forgiveness of debt</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340" w:type="dxa"/>
            <w:tcBorders/>
            <w:shd w:fill="CCEEFF" w:val="clear"/>
            <w:vAlign w:val="center"/>
          </w:tcPr>
          <w:p>
            <w:pPr>
              <w:pStyle w:val="TableContents"/>
              <w:bidi w:val="0"/>
              <w:spacing w:before="0" w:after="283"/>
              <w:jc w:val="right"/>
              <w:rPr/>
            </w:pPr>
            <w:r>
              <w:rPr/>
              <w:t>-</w:t>
            </w:r>
          </w:p>
        </w:tc>
        <w:tc>
          <w:tcPr>
            <w:tcW w:w="115"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340" w:type="dxa"/>
            <w:tcBorders/>
            <w:shd w:fill="CCEEFF" w:val="clear"/>
            <w:vAlign w:val="center"/>
          </w:tcPr>
          <w:p>
            <w:pPr>
              <w:pStyle w:val="TableContents"/>
              <w:bidi w:val="0"/>
              <w:spacing w:before="0" w:after="283"/>
              <w:jc w:val="right"/>
              <w:rPr/>
            </w:pPr>
            <w:r>
              <w:rPr/>
              <w:t>1,021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 </w:t>
            </w:r>
          </w:p>
        </w:tc>
        <w:tc>
          <w:tcPr>
            <w:tcW w:w="1328" w:type="dxa"/>
            <w:tcBorders/>
            <w:shd w:fill="CCEEFF" w:val="clear"/>
            <w:vAlign w:val="center"/>
          </w:tcPr>
          <w:p>
            <w:pPr>
              <w:pStyle w:val="TableContents"/>
              <w:bidi w:val="0"/>
              <w:spacing w:before="0" w:after="283"/>
              <w:jc w:val="right"/>
              <w:rPr/>
            </w:pPr>
            <w:r>
              <w:rPr/>
              <w:t>196</w:t>
            </w:r>
          </w:p>
        </w:tc>
        <w:tc>
          <w:tcPr>
            <w:tcW w:w="114"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 </w:t>
            </w:r>
          </w:p>
        </w:tc>
        <w:tc>
          <w:tcPr>
            <w:tcW w:w="1328" w:type="dxa"/>
            <w:tcBorders/>
            <w:shd w:fill="CCEEFF" w:val="clear"/>
            <w:vAlign w:val="center"/>
          </w:tcPr>
          <w:p>
            <w:pPr>
              <w:pStyle w:val="TableContents"/>
              <w:bidi w:val="0"/>
              <w:spacing w:before="0" w:after="283"/>
              <w:jc w:val="right"/>
              <w:rPr/>
            </w:pPr>
            <w:r>
              <w:rPr/>
              <w:t>2,409</w:t>
            </w:r>
          </w:p>
        </w:tc>
        <w:tc>
          <w:tcPr>
            <w:tcW w:w="117" w:type="dxa"/>
            <w:tcBorders/>
            <w:shd w:fill="CCEEFF" w:val="clear"/>
            <w:vAlign w:val="center"/>
          </w:tcPr>
          <w:p>
            <w:pPr>
              <w:pStyle w:val="TableContents"/>
              <w:bidi w:val="0"/>
              <w:spacing w:before="0" w:after="283"/>
              <w:jc w:val="left"/>
              <w:rPr/>
            </w:pPr>
            <w:r>
              <w:rPr/>
              <w:t> </w:t>
            </w:r>
            <w:bookmarkStart w:id="136" w:name="xdx_405_eus-gaap--OtherNonoperatingIncom"/>
            <w:bookmarkEnd w:id="136"/>
          </w:p>
        </w:tc>
      </w:tr>
      <w:tr>
        <w:trPr/>
        <w:tc>
          <w:tcPr>
            <w:tcW w:w="3487" w:type="dxa"/>
            <w:tcBorders/>
            <w:shd w:fill="FFFFFF" w:val="clear"/>
            <w:vAlign w:val="center"/>
          </w:tcPr>
          <w:p>
            <w:pPr>
              <w:pStyle w:val="TableContents"/>
              <w:bidi w:val="0"/>
              <w:spacing w:before="0" w:after="283"/>
              <w:jc w:val="left"/>
              <w:rPr/>
            </w:pPr>
            <w:r>
              <w:rPr/>
              <w:t>Other income (expense), net:</w:t>
            </w:r>
          </w:p>
        </w:tc>
        <w:tc>
          <w:tcPr>
            <w:tcW w:w="60" w:type="dxa"/>
            <w:tcBorders/>
            <w:shd w:fill="FFFFFF" w:val="clear"/>
            <w:vAlign w:val="center"/>
          </w:tcPr>
          <w:p>
            <w:pPr>
              <w:pStyle w:val="TableContents"/>
              <w:bidi w:val="0"/>
              <w:spacing w:before="0" w:after="283"/>
              <w:jc w:val="left"/>
              <w:rPr/>
            </w:pPr>
            <w:r>
              <w:rPr/>
              <w:t> </w:t>
            </w:r>
          </w:p>
        </w:tc>
        <w:tc>
          <w:tcPr>
            <w:tcW w:w="17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40" w:type="dxa"/>
            <w:tcBorders>
              <w:bottom w:val="single" w:sz="8" w:space="0" w:color="000000"/>
            </w:tcBorders>
            <w:shd w:fill="FFFFFF" w:val="clear"/>
            <w:tcMar>
              <w:bottom w:w="28" w:type="dxa"/>
            </w:tcMar>
            <w:vAlign w:val="center"/>
          </w:tcPr>
          <w:p>
            <w:pPr>
              <w:pStyle w:val="TableContents"/>
              <w:bidi w:val="0"/>
              <w:spacing w:before="0" w:after="283"/>
              <w:jc w:val="right"/>
              <w:rPr/>
            </w:pPr>
            <w:r>
              <w:rPr/>
              <w:t>(12</w:t>
            </w:r>
          </w:p>
        </w:tc>
        <w:tc>
          <w:tcPr>
            <w:tcW w:w="115" w:type="dxa"/>
            <w:tcBorders/>
            <w:shd w:fill="FFFFFF" w:val="clear"/>
            <w:vAlign w:val="center"/>
          </w:tcPr>
          <w:p>
            <w:pPr>
              <w:pStyle w:val="TableContents"/>
              <w:bidi w:val="0"/>
              <w:spacing w:before="0" w:after="283"/>
              <w:jc w:val="left"/>
              <w:rPr/>
            </w:pPr>
            <w:r>
              <w:rPr/>
              <w:t>)</w:t>
            </w:r>
          </w:p>
        </w:tc>
        <w:tc>
          <w:tcPr>
            <w:tcW w:w="73" w:type="dxa"/>
            <w:tcBorders/>
            <w:shd w:fill="FFFFFF" w:val="clear"/>
            <w:vAlign w:val="center"/>
          </w:tcPr>
          <w:p>
            <w:pPr>
              <w:pStyle w:val="TableContents"/>
              <w:bidi w:val="0"/>
              <w:spacing w:before="0" w:after="283"/>
              <w:jc w:val="left"/>
              <w:rPr/>
            </w:pPr>
            <w:r>
              <w:rPr/>
              <w:t> </w:t>
            </w:r>
          </w:p>
        </w:tc>
        <w:tc>
          <w:tcPr>
            <w:tcW w:w="17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40" w:type="dxa"/>
            <w:tcBorders>
              <w:bottom w:val="single" w:sz="8" w:space="0" w:color="000000"/>
            </w:tcBorders>
            <w:shd w:fill="FFFFFF" w:val="clear"/>
            <w:tcMar>
              <w:bottom w:w="28" w:type="dxa"/>
            </w:tcMar>
            <w:vAlign w:val="center"/>
          </w:tcPr>
          <w:p>
            <w:pPr>
              <w:pStyle w:val="TableContents"/>
              <w:bidi w:val="0"/>
              <w:spacing w:before="0" w:after="283"/>
              <w:jc w:val="right"/>
              <w:rPr/>
            </w:pPr>
            <w:r>
              <w:rPr/>
              <w:t>15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28" w:type="dxa"/>
            <w:tcBorders>
              <w:bottom w:val="single" w:sz="8" w:space="0" w:color="000000"/>
            </w:tcBorders>
            <w:shd w:fill="FFFFFF" w:val="clear"/>
            <w:tcMar>
              <w:bottom w:w="28" w:type="dxa"/>
            </w:tcMar>
            <w:vAlign w:val="center"/>
          </w:tcPr>
          <w:p>
            <w:pPr>
              <w:pStyle w:val="TableContents"/>
              <w:bidi w:val="0"/>
              <w:spacing w:before="0" w:after="283"/>
              <w:jc w:val="right"/>
              <w:rPr/>
            </w:pPr>
            <w:r>
              <w:rPr/>
              <w:t>(40</w:t>
            </w:r>
          </w:p>
        </w:tc>
        <w:tc>
          <w:tcPr>
            <w:tcW w:w="114" w:type="dxa"/>
            <w:tcBorders/>
            <w:shd w:fill="FFFFFF" w:val="clear"/>
            <w:vAlign w:val="center"/>
          </w:tcPr>
          <w:p>
            <w:pPr>
              <w:pStyle w:val="TableContents"/>
              <w:bidi w:val="0"/>
              <w:spacing w:before="0" w:after="283"/>
              <w:jc w:val="left"/>
              <w:rPr/>
            </w:pPr>
            <w:r>
              <w:rPr/>
              <w:t>)</w:t>
            </w:r>
          </w:p>
        </w:tc>
        <w:tc>
          <w:tcPr>
            <w:tcW w:w="72" w:type="dxa"/>
            <w:tcBorders/>
            <w:shd w:fill="FFFFFF" w:val="clear"/>
            <w:vAlign w:val="center"/>
          </w:tcPr>
          <w:p>
            <w:pPr>
              <w:pStyle w:val="TableContents"/>
              <w:bidi w:val="0"/>
              <w:spacing w:before="0" w:after="283"/>
              <w:jc w:val="left"/>
              <w:rPr/>
            </w:pPr>
            <w:r>
              <w:rPr/>
              <w:t> </w:t>
            </w:r>
          </w:p>
        </w:tc>
        <w:tc>
          <w:tcPr>
            <w:tcW w:w="16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28" w:type="dxa"/>
            <w:tcBorders>
              <w:bottom w:val="single" w:sz="8" w:space="0" w:color="000000"/>
            </w:tcBorders>
            <w:shd w:fill="FFFFFF" w:val="clear"/>
            <w:tcMar>
              <w:bottom w:w="28" w:type="dxa"/>
            </w:tcMar>
            <w:vAlign w:val="center"/>
          </w:tcPr>
          <w:p>
            <w:pPr>
              <w:pStyle w:val="TableContents"/>
              <w:bidi w:val="0"/>
              <w:spacing w:before="0" w:after="283"/>
              <w:jc w:val="right"/>
              <w:rPr/>
            </w:pPr>
            <w:r>
              <w:rPr/>
              <w:t>38</w:t>
            </w:r>
          </w:p>
        </w:tc>
        <w:tc>
          <w:tcPr>
            <w:tcW w:w="117" w:type="dxa"/>
            <w:tcBorders/>
            <w:shd w:fill="FFFFFF" w:val="clear"/>
            <w:vAlign w:val="center"/>
          </w:tcPr>
          <w:p>
            <w:pPr>
              <w:pStyle w:val="TableContents"/>
              <w:bidi w:val="0"/>
              <w:spacing w:before="0" w:after="283"/>
              <w:jc w:val="left"/>
              <w:rPr/>
            </w:pPr>
            <w:r>
              <w:rPr/>
              <w:t> </w:t>
            </w:r>
            <w:bookmarkStart w:id="137" w:name="xdx_405_eus-gaap--NonoperatingIncomeExpe"/>
            <w:bookmarkEnd w:id="137"/>
          </w:p>
        </w:tc>
      </w:tr>
      <w:tr>
        <w:trPr/>
        <w:tc>
          <w:tcPr>
            <w:tcW w:w="3487" w:type="dxa"/>
            <w:tcBorders/>
            <w:shd w:fill="CCEEFF" w:val="clear"/>
            <w:vAlign w:val="center"/>
          </w:tcPr>
          <w:p>
            <w:pPr>
              <w:pStyle w:val="TableContents"/>
              <w:bidi w:val="0"/>
              <w:spacing w:before="0" w:after="283"/>
              <w:jc w:val="left"/>
              <w:rPr/>
            </w:pPr>
            <w:r>
              <w:rPr/>
              <w:t>Total other income (expense), net</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340" w:type="dxa"/>
            <w:tcBorders/>
            <w:shd w:fill="CCEEFF" w:val="clear"/>
            <w:vAlign w:val="center"/>
          </w:tcPr>
          <w:p>
            <w:pPr>
              <w:pStyle w:val="TableContents"/>
              <w:bidi w:val="0"/>
              <w:spacing w:before="0" w:after="283"/>
              <w:jc w:val="right"/>
              <w:rPr/>
            </w:pPr>
            <w:r>
              <w:rPr/>
              <w:t>(10,236</w:t>
            </w:r>
          </w:p>
        </w:tc>
        <w:tc>
          <w:tcPr>
            <w:tcW w:w="115" w:type="dxa"/>
            <w:tcBorders/>
            <w:shd w:fill="CCEEFF" w:val="clear"/>
            <w:vAlign w:val="center"/>
          </w:tcPr>
          <w:p>
            <w:pPr>
              <w:pStyle w:val="TableContents"/>
              <w:bidi w:val="0"/>
              <w:spacing w:before="0" w:after="283"/>
              <w:jc w:val="left"/>
              <w:rPr/>
            </w:pPr>
            <w:r>
              <w:rPr/>
              <w:t>)</w:t>
            </w:r>
          </w:p>
        </w:tc>
        <w:tc>
          <w:tcPr>
            <w:tcW w:w="73"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340" w:type="dxa"/>
            <w:tcBorders/>
            <w:shd w:fill="CCEEFF" w:val="clear"/>
            <w:vAlign w:val="center"/>
          </w:tcPr>
          <w:p>
            <w:pPr>
              <w:pStyle w:val="TableContents"/>
              <w:bidi w:val="0"/>
              <w:spacing w:before="0" w:after="283"/>
              <w:jc w:val="right"/>
              <w:rPr/>
            </w:pPr>
            <w:r>
              <w:rPr/>
              <w:t>1,036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 </w:t>
            </w:r>
          </w:p>
        </w:tc>
        <w:tc>
          <w:tcPr>
            <w:tcW w:w="1328" w:type="dxa"/>
            <w:tcBorders/>
            <w:shd w:fill="CCEEFF" w:val="clear"/>
            <w:vAlign w:val="center"/>
          </w:tcPr>
          <w:p>
            <w:pPr>
              <w:pStyle w:val="TableContents"/>
              <w:bidi w:val="0"/>
              <w:spacing w:before="0" w:after="283"/>
              <w:jc w:val="right"/>
              <w:rPr/>
            </w:pPr>
            <w:r>
              <w:rPr/>
              <w:t>(10,055</w:t>
            </w:r>
          </w:p>
        </w:tc>
        <w:tc>
          <w:tcPr>
            <w:tcW w:w="114" w:type="dxa"/>
            <w:tcBorders/>
            <w:shd w:fill="CCEEFF" w:val="clear"/>
            <w:vAlign w:val="center"/>
          </w:tcPr>
          <w:p>
            <w:pPr>
              <w:pStyle w:val="TableContents"/>
              <w:bidi w:val="0"/>
              <w:spacing w:before="0" w:after="283"/>
              <w:jc w:val="left"/>
              <w:rPr/>
            </w:pPr>
            <w:r>
              <w:rPr/>
              <w:t>)</w:t>
            </w:r>
          </w:p>
        </w:tc>
        <w:tc>
          <w:tcPr>
            <w:tcW w:w="72"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 </w:t>
            </w:r>
          </w:p>
        </w:tc>
        <w:tc>
          <w:tcPr>
            <w:tcW w:w="1328" w:type="dxa"/>
            <w:tcBorders/>
            <w:shd w:fill="CCEEFF" w:val="clear"/>
            <w:vAlign w:val="center"/>
          </w:tcPr>
          <w:p>
            <w:pPr>
              <w:pStyle w:val="TableContents"/>
              <w:bidi w:val="0"/>
              <w:spacing w:before="0" w:after="283"/>
              <w:jc w:val="right"/>
              <w:rPr/>
            </w:pPr>
            <w:r>
              <w:rPr/>
              <w:t>2,439</w:t>
            </w:r>
          </w:p>
        </w:tc>
        <w:tc>
          <w:tcPr>
            <w:tcW w:w="117" w:type="dxa"/>
            <w:tcBorders/>
            <w:shd w:fill="CCEEFF" w:val="clear"/>
            <w:vAlign w:val="center"/>
          </w:tcPr>
          <w:p>
            <w:pPr>
              <w:pStyle w:val="TableContents"/>
              <w:bidi w:val="0"/>
              <w:spacing w:before="0" w:after="283"/>
              <w:jc w:val="left"/>
              <w:rPr/>
            </w:pPr>
            <w:r>
              <w:rPr/>
              <w:t> </w:t>
            </w:r>
          </w:p>
        </w:tc>
      </w:tr>
      <w:tr>
        <w:trPr/>
        <w:tc>
          <w:tcPr>
            <w:tcW w:w="348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pPr>
            <w:r>
              <w:rPr/>
              <w:t> </w:t>
            </w:r>
          </w:p>
        </w:tc>
        <w:tc>
          <w:tcPr>
            <w:tcW w:w="115"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1328" w:type="dxa"/>
            <w:tcBorders/>
            <w:shd w:fill="FFFFFF" w:val="clear"/>
            <w:vAlign w:val="center"/>
          </w:tcPr>
          <w:p>
            <w:pPr>
              <w:pStyle w:val="TableContents"/>
              <w:bidi w:val="0"/>
              <w:spacing w:before="0" w:after="283"/>
              <w:jc w:val="right"/>
              <w:rPr/>
            </w:pPr>
            <w:r>
              <w:rPr/>
              <w:t> </w:t>
            </w:r>
          </w:p>
        </w:tc>
        <w:tc>
          <w:tcPr>
            <w:tcW w:w="114"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1328" w:type="dxa"/>
            <w:tcBorders/>
            <w:shd w:fill="FFFFFF" w:val="clear"/>
            <w:vAlign w:val="center"/>
          </w:tcPr>
          <w:p>
            <w:pPr>
              <w:pStyle w:val="TableContents"/>
              <w:bidi w:val="0"/>
              <w:spacing w:before="0" w:after="283"/>
              <w:jc w:val="right"/>
              <w:rPr/>
            </w:pPr>
            <w:r>
              <w:rPr/>
              <w:t> </w:t>
            </w:r>
          </w:p>
        </w:tc>
        <w:tc>
          <w:tcPr>
            <w:tcW w:w="117" w:type="dxa"/>
            <w:tcBorders/>
            <w:shd w:fill="FFFFFF" w:val="clear"/>
            <w:vAlign w:val="center"/>
          </w:tcPr>
          <w:p>
            <w:pPr>
              <w:pStyle w:val="TableContents"/>
              <w:bidi w:val="0"/>
              <w:spacing w:before="0" w:after="283"/>
              <w:jc w:val="left"/>
              <w:rPr/>
            </w:pPr>
            <w:r>
              <w:rPr/>
              <w:t> </w:t>
            </w:r>
            <w:bookmarkStart w:id="138" w:name="xdx_40B_eus-gaap--IncomeLossFromContinui"/>
            <w:bookmarkEnd w:id="138"/>
          </w:p>
        </w:tc>
      </w:tr>
      <w:tr>
        <w:trPr/>
        <w:tc>
          <w:tcPr>
            <w:tcW w:w="3487" w:type="dxa"/>
            <w:tcBorders/>
            <w:shd w:fill="CCEEFF" w:val="clear"/>
            <w:vAlign w:val="center"/>
          </w:tcPr>
          <w:p>
            <w:pPr>
              <w:pStyle w:val="TableContents"/>
              <w:bidi w:val="0"/>
              <w:spacing w:before="0" w:after="283"/>
              <w:jc w:val="left"/>
              <w:rPr>
                <w:b/>
              </w:rPr>
            </w:pPr>
            <w:r>
              <w:rPr>
                <w:b/>
              </w:rPr>
              <w:t>Loss before income taxes</w:t>
            </w:r>
          </w:p>
        </w:tc>
        <w:tc>
          <w:tcPr>
            <w:tcW w:w="60" w:type="dxa"/>
            <w:tcBorders/>
            <w:shd w:fill="CCEEFF" w:val="clear"/>
            <w:vAlign w:val="center"/>
          </w:tcPr>
          <w:p>
            <w:pPr>
              <w:pStyle w:val="TableContents"/>
              <w:bidi w:val="0"/>
              <w:spacing w:before="0" w:after="283"/>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40"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(16,349</w:t>
            </w:r>
          </w:p>
        </w:tc>
        <w:tc>
          <w:tcPr>
            <w:tcW w:w="115" w:type="dxa"/>
            <w:tcBorders/>
            <w:shd w:fill="CCEEFF" w:val="clear"/>
            <w:vAlign w:val="center"/>
          </w:tcPr>
          <w:p>
            <w:pPr>
              <w:pStyle w:val="TableContents"/>
              <w:bidi w:val="0"/>
              <w:spacing w:before="0" w:after="283"/>
              <w:jc w:val="left"/>
              <w:rPr>
                <w:b/>
              </w:rPr>
            </w:pPr>
            <w:r>
              <w:rPr>
                <w:b/>
              </w:rPr>
              <w:t>)</w:t>
            </w:r>
          </w:p>
        </w:tc>
        <w:tc>
          <w:tcPr>
            <w:tcW w:w="73" w:type="dxa"/>
            <w:tcBorders/>
            <w:shd w:fill="CCEEFF" w:val="clear"/>
            <w:vAlign w:val="center"/>
          </w:tcPr>
          <w:p>
            <w:pPr>
              <w:pStyle w:val="TableContents"/>
              <w:bidi w:val="0"/>
              <w:spacing w:before="0" w:after="283"/>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40"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(1,914</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6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28"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(39,516</w:t>
            </w:r>
          </w:p>
        </w:tc>
        <w:tc>
          <w:tcPr>
            <w:tcW w:w="114" w:type="dxa"/>
            <w:tcBorders/>
            <w:shd w:fill="CCEEFF" w:val="clear"/>
            <w:vAlign w:val="center"/>
          </w:tcPr>
          <w:p>
            <w:pPr>
              <w:pStyle w:val="TableContents"/>
              <w:bidi w:val="0"/>
              <w:spacing w:before="0" w:after="283"/>
              <w:jc w:val="left"/>
              <w:rPr>
                <w:b/>
              </w:rPr>
            </w:pPr>
            <w:r>
              <w:rPr>
                <w:b/>
              </w:rPr>
              <w:t>)</w:t>
            </w:r>
          </w:p>
        </w:tc>
        <w:tc>
          <w:tcPr>
            <w:tcW w:w="72" w:type="dxa"/>
            <w:tcBorders/>
            <w:shd w:fill="CCEEFF" w:val="clear"/>
            <w:vAlign w:val="center"/>
          </w:tcPr>
          <w:p>
            <w:pPr>
              <w:pStyle w:val="TableContents"/>
              <w:bidi w:val="0"/>
              <w:spacing w:before="0" w:after="283"/>
              <w:jc w:val="left"/>
              <w:rPr/>
            </w:pPr>
            <w:r>
              <w:rPr/>
              <w:t> </w:t>
            </w:r>
          </w:p>
        </w:tc>
        <w:tc>
          <w:tcPr>
            <w:tcW w:w="16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28"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(9,240</w:t>
            </w:r>
          </w:p>
        </w:tc>
        <w:tc>
          <w:tcPr>
            <w:tcW w:w="117" w:type="dxa"/>
            <w:tcBorders/>
            <w:shd w:fill="CCEEFF" w:val="clear"/>
            <w:vAlign w:val="center"/>
          </w:tcPr>
          <w:p>
            <w:pPr>
              <w:pStyle w:val="TableContents"/>
              <w:bidi w:val="0"/>
              <w:spacing w:before="0" w:after="283"/>
              <w:jc w:val="left"/>
              <w:rPr>
                <w:b/>
              </w:rPr>
            </w:pPr>
            <w:r>
              <w:rPr>
                <w:b/>
              </w:rPr>
              <w:t>)</w:t>
            </w:r>
          </w:p>
        </w:tc>
      </w:tr>
      <w:tr>
        <w:trPr/>
        <w:tc>
          <w:tcPr>
            <w:tcW w:w="348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pPr>
            <w:r>
              <w:rPr/>
              <w:t> </w:t>
            </w:r>
          </w:p>
        </w:tc>
        <w:tc>
          <w:tcPr>
            <w:tcW w:w="115"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1328" w:type="dxa"/>
            <w:tcBorders/>
            <w:shd w:fill="FFFFFF" w:val="clear"/>
            <w:vAlign w:val="center"/>
          </w:tcPr>
          <w:p>
            <w:pPr>
              <w:pStyle w:val="TableContents"/>
              <w:bidi w:val="0"/>
              <w:spacing w:before="0" w:after="283"/>
              <w:jc w:val="right"/>
              <w:rPr/>
            </w:pPr>
            <w:r>
              <w:rPr/>
              <w:t> </w:t>
            </w:r>
          </w:p>
        </w:tc>
        <w:tc>
          <w:tcPr>
            <w:tcW w:w="114"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1328" w:type="dxa"/>
            <w:tcBorders/>
            <w:shd w:fill="FFFFFF" w:val="clear"/>
            <w:vAlign w:val="center"/>
          </w:tcPr>
          <w:p>
            <w:pPr>
              <w:pStyle w:val="TableContents"/>
              <w:bidi w:val="0"/>
              <w:spacing w:before="0" w:after="283"/>
              <w:jc w:val="right"/>
              <w:rPr/>
            </w:pPr>
            <w:r>
              <w:rPr/>
              <w:t> </w:t>
            </w:r>
          </w:p>
        </w:tc>
        <w:tc>
          <w:tcPr>
            <w:tcW w:w="117" w:type="dxa"/>
            <w:tcBorders/>
            <w:shd w:fill="FFFFFF" w:val="clear"/>
            <w:vAlign w:val="center"/>
          </w:tcPr>
          <w:p>
            <w:pPr>
              <w:pStyle w:val="TableContents"/>
              <w:bidi w:val="0"/>
              <w:spacing w:before="0" w:after="283"/>
              <w:jc w:val="left"/>
              <w:rPr/>
            </w:pPr>
            <w:r>
              <w:rPr/>
              <w:t> </w:t>
            </w:r>
            <w:bookmarkStart w:id="139" w:name="xdx_402_eus-gaap--IncomeTaxExpenseBenefi"/>
            <w:bookmarkEnd w:id="139"/>
          </w:p>
        </w:tc>
      </w:tr>
      <w:tr>
        <w:trPr/>
        <w:tc>
          <w:tcPr>
            <w:tcW w:w="3487" w:type="dxa"/>
            <w:tcBorders/>
            <w:shd w:fill="CCEEFF" w:val="clear"/>
            <w:vAlign w:val="center"/>
          </w:tcPr>
          <w:p>
            <w:pPr>
              <w:pStyle w:val="TableContents"/>
              <w:bidi w:val="0"/>
              <w:spacing w:before="0" w:after="283"/>
              <w:jc w:val="left"/>
              <w:rPr/>
            </w:pPr>
            <w:r>
              <w:rPr/>
              <w:t>Income taxes (benefit)</w:t>
            </w:r>
          </w:p>
        </w:tc>
        <w:tc>
          <w:tcPr>
            <w:tcW w:w="60" w:type="dxa"/>
            <w:tcBorders/>
            <w:shd w:fill="CCEEFF" w:val="clear"/>
            <w:vAlign w:val="center"/>
          </w:tcPr>
          <w:p>
            <w:pPr>
              <w:pStyle w:val="TableContents"/>
              <w:bidi w:val="0"/>
              <w:spacing w:before="0" w:after="283"/>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4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(765</w:t>
            </w:r>
          </w:p>
        </w:tc>
        <w:tc>
          <w:tcPr>
            <w:tcW w:w="115" w:type="dxa"/>
            <w:tcBorders/>
            <w:shd w:fill="CCEEFF" w:val="clear"/>
            <w:vAlign w:val="center"/>
          </w:tcPr>
          <w:p>
            <w:pPr>
              <w:pStyle w:val="TableContents"/>
              <w:bidi w:val="0"/>
              <w:spacing w:before="0" w:after="283"/>
              <w:jc w:val="left"/>
              <w:rPr/>
            </w:pPr>
            <w:r>
              <w:rPr/>
              <w:t>)</w:t>
            </w:r>
          </w:p>
        </w:tc>
        <w:tc>
          <w:tcPr>
            <w:tcW w:w="73" w:type="dxa"/>
            <w:tcBorders/>
            <w:shd w:fill="CCEEFF" w:val="clear"/>
            <w:vAlign w:val="center"/>
          </w:tcPr>
          <w:p>
            <w:pPr>
              <w:pStyle w:val="TableContents"/>
              <w:bidi w:val="0"/>
              <w:spacing w:before="0" w:after="283"/>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4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28" w:type="dxa"/>
            <w:tcBorders>
              <w:bottom w:val="single" w:sz="8" w:space="0" w:color="000000"/>
            </w:tcBorders>
            <w:shd w:fill="CCEEFF" w:val="clear"/>
            <w:tcMar>
              <w:bottom w:w="28" w:type="dxa"/>
            </w:tcMar>
            <w:vAlign w:val="center"/>
          </w:tcPr>
          <w:p>
            <w:pPr>
              <w:pStyle w:val="TableContents"/>
              <w:bidi w:val="0"/>
              <w:spacing w:before="0" w:after="283"/>
              <w:jc w:val="right"/>
              <w:rPr/>
            </w:pPr>
            <w:r>
              <w:rPr/>
              <w:t>(765</w:t>
            </w:r>
          </w:p>
        </w:tc>
        <w:tc>
          <w:tcPr>
            <w:tcW w:w="114" w:type="dxa"/>
            <w:tcBorders/>
            <w:shd w:fill="CCEEFF" w:val="clear"/>
            <w:vAlign w:val="center"/>
          </w:tcPr>
          <w:p>
            <w:pPr>
              <w:pStyle w:val="TableContents"/>
              <w:bidi w:val="0"/>
              <w:spacing w:before="0" w:after="283"/>
              <w:jc w:val="left"/>
              <w:rPr/>
            </w:pPr>
            <w:r>
              <w:rPr/>
              <w:t>)</w:t>
            </w:r>
          </w:p>
        </w:tc>
        <w:tc>
          <w:tcPr>
            <w:tcW w:w="72" w:type="dxa"/>
            <w:tcBorders/>
            <w:shd w:fill="CCEEFF" w:val="clear"/>
            <w:vAlign w:val="center"/>
          </w:tcPr>
          <w:p>
            <w:pPr>
              <w:pStyle w:val="TableContents"/>
              <w:bidi w:val="0"/>
              <w:spacing w:before="0" w:after="283"/>
              <w:jc w:val="left"/>
              <w:rPr/>
            </w:pPr>
            <w:r>
              <w:rPr/>
              <w:t> </w:t>
            </w:r>
          </w:p>
        </w:tc>
        <w:tc>
          <w:tcPr>
            <w:tcW w:w="16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28"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117" w:type="dxa"/>
            <w:tcBorders/>
            <w:shd w:fill="CCEEFF" w:val="clear"/>
            <w:vAlign w:val="center"/>
          </w:tcPr>
          <w:p>
            <w:pPr>
              <w:pStyle w:val="TableContents"/>
              <w:bidi w:val="0"/>
              <w:spacing w:before="0" w:after="283"/>
              <w:jc w:val="left"/>
              <w:rPr/>
            </w:pPr>
            <w:r>
              <w:rPr/>
              <w:t> </w:t>
            </w:r>
          </w:p>
        </w:tc>
      </w:tr>
      <w:tr>
        <w:trPr/>
        <w:tc>
          <w:tcPr>
            <w:tcW w:w="348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pPr>
            <w:r>
              <w:rPr/>
              <w:t> </w:t>
            </w:r>
          </w:p>
        </w:tc>
        <w:tc>
          <w:tcPr>
            <w:tcW w:w="115"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1328" w:type="dxa"/>
            <w:tcBorders/>
            <w:shd w:fill="FFFFFF" w:val="clear"/>
            <w:vAlign w:val="center"/>
          </w:tcPr>
          <w:p>
            <w:pPr>
              <w:pStyle w:val="TableContents"/>
              <w:bidi w:val="0"/>
              <w:spacing w:before="0" w:after="283"/>
              <w:jc w:val="right"/>
              <w:rPr/>
            </w:pPr>
            <w:r>
              <w:rPr/>
              <w:t> </w:t>
            </w:r>
          </w:p>
        </w:tc>
        <w:tc>
          <w:tcPr>
            <w:tcW w:w="114"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1328" w:type="dxa"/>
            <w:tcBorders/>
            <w:shd w:fill="FFFFFF" w:val="clear"/>
            <w:vAlign w:val="center"/>
          </w:tcPr>
          <w:p>
            <w:pPr>
              <w:pStyle w:val="TableContents"/>
              <w:bidi w:val="0"/>
              <w:spacing w:before="0" w:after="283"/>
              <w:jc w:val="right"/>
              <w:rPr/>
            </w:pPr>
            <w:r>
              <w:rPr/>
              <w:t> </w:t>
            </w:r>
          </w:p>
        </w:tc>
        <w:tc>
          <w:tcPr>
            <w:tcW w:w="117" w:type="dxa"/>
            <w:tcBorders/>
            <w:shd w:fill="FFFFFF" w:val="clear"/>
            <w:vAlign w:val="center"/>
          </w:tcPr>
          <w:p>
            <w:pPr>
              <w:pStyle w:val="TableContents"/>
              <w:bidi w:val="0"/>
              <w:spacing w:before="0" w:after="283"/>
              <w:jc w:val="left"/>
              <w:rPr/>
            </w:pPr>
            <w:r>
              <w:rPr/>
              <w:t> </w:t>
            </w:r>
            <w:bookmarkStart w:id="140" w:name="xdx_400_eus-gaap--ProfitLoss_iT_mtPLzVnm"/>
            <w:bookmarkEnd w:id="140"/>
          </w:p>
        </w:tc>
      </w:tr>
      <w:tr>
        <w:trPr/>
        <w:tc>
          <w:tcPr>
            <w:tcW w:w="3487" w:type="dxa"/>
            <w:tcBorders/>
            <w:shd w:fill="CCEEFF" w:val="clear"/>
            <w:vAlign w:val="center"/>
          </w:tcPr>
          <w:p>
            <w:pPr>
              <w:pStyle w:val="TableContents"/>
              <w:bidi w:val="0"/>
              <w:spacing w:before="0" w:after="283"/>
              <w:jc w:val="left"/>
              <w:rPr>
                <w:b/>
              </w:rPr>
            </w:pPr>
            <w:r>
              <w:rPr>
                <w:b/>
              </w:rPr>
              <w:t>Net loss</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340" w:type="dxa"/>
            <w:tcBorders/>
            <w:shd w:fill="CCEEFF" w:val="clear"/>
            <w:vAlign w:val="center"/>
          </w:tcPr>
          <w:p>
            <w:pPr>
              <w:pStyle w:val="TableContents"/>
              <w:bidi w:val="0"/>
              <w:spacing w:before="0" w:after="283"/>
              <w:jc w:val="right"/>
              <w:rPr>
                <w:b/>
              </w:rPr>
            </w:pPr>
            <w:r>
              <w:rPr>
                <w:b/>
              </w:rPr>
              <w:t>(15,584</w:t>
            </w:r>
          </w:p>
        </w:tc>
        <w:tc>
          <w:tcPr>
            <w:tcW w:w="115" w:type="dxa"/>
            <w:tcBorders/>
            <w:shd w:fill="CCEEFF" w:val="clear"/>
            <w:vAlign w:val="center"/>
          </w:tcPr>
          <w:p>
            <w:pPr>
              <w:pStyle w:val="TableContents"/>
              <w:bidi w:val="0"/>
              <w:spacing w:before="0" w:after="283"/>
              <w:jc w:val="left"/>
              <w:rPr>
                <w:b/>
              </w:rPr>
            </w:pPr>
            <w:r>
              <w:rPr>
                <w:b/>
              </w:rPr>
              <w:t>)</w:t>
            </w:r>
          </w:p>
        </w:tc>
        <w:tc>
          <w:tcPr>
            <w:tcW w:w="73"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340" w:type="dxa"/>
            <w:tcBorders/>
            <w:shd w:fill="CCEEFF" w:val="clear"/>
            <w:vAlign w:val="center"/>
          </w:tcPr>
          <w:p>
            <w:pPr>
              <w:pStyle w:val="TableContents"/>
              <w:bidi w:val="0"/>
              <w:spacing w:before="0" w:after="283"/>
              <w:jc w:val="right"/>
              <w:rPr>
                <w:b/>
              </w:rPr>
            </w:pPr>
            <w:r>
              <w:rPr>
                <w:b/>
              </w:rPr>
              <w:t>(1,914</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 </w:t>
            </w:r>
          </w:p>
        </w:tc>
        <w:tc>
          <w:tcPr>
            <w:tcW w:w="1328" w:type="dxa"/>
            <w:tcBorders/>
            <w:shd w:fill="CCEEFF" w:val="clear"/>
            <w:vAlign w:val="center"/>
          </w:tcPr>
          <w:p>
            <w:pPr>
              <w:pStyle w:val="TableContents"/>
              <w:bidi w:val="0"/>
              <w:spacing w:before="0" w:after="283"/>
              <w:jc w:val="right"/>
              <w:rPr>
                <w:b/>
              </w:rPr>
            </w:pPr>
            <w:r>
              <w:rPr>
                <w:b/>
              </w:rPr>
              <w:t>(38,751</w:t>
            </w:r>
          </w:p>
        </w:tc>
        <w:tc>
          <w:tcPr>
            <w:tcW w:w="114" w:type="dxa"/>
            <w:tcBorders/>
            <w:shd w:fill="CCEEFF" w:val="clear"/>
            <w:vAlign w:val="center"/>
          </w:tcPr>
          <w:p>
            <w:pPr>
              <w:pStyle w:val="TableContents"/>
              <w:bidi w:val="0"/>
              <w:spacing w:before="0" w:after="283"/>
              <w:jc w:val="left"/>
              <w:rPr>
                <w:b/>
              </w:rPr>
            </w:pPr>
            <w:r>
              <w:rPr>
                <w:b/>
              </w:rPr>
              <w:t>)</w:t>
            </w:r>
          </w:p>
        </w:tc>
        <w:tc>
          <w:tcPr>
            <w:tcW w:w="72"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 </w:t>
            </w:r>
          </w:p>
        </w:tc>
        <w:tc>
          <w:tcPr>
            <w:tcW w:w="1328" w:type="dxa"/>
            <w:tcBorders/>
            <w:shd w:fill="CCEEFF" w:val="clear"/>
            <w:vAlign w:val="center"/>
          </w:tcPr>
          <w:p>
            <w:pPr>
              <w:pStyle w:val="TableContents"/>
              <w:bidi w:val="0"/>
              <w:spacing w:before="0" w:after="283"/>
              <w:jc w:val="right"/>
              <w:rPr>
                <w:b/>
              </w:rPr>
            </w:pPr>
            <w:r>
              <w:rPr>
                <w:b/>
              </w:rPr>
              <w:t>(9,240</w:t>
            </w:r>
          </w:p>
        </w:tc>
        <w:tc>
          <w:tcPr>
            <w:tcW w:w="117" w:type="dxa"/>
            <w:tcBorders/>
            <w:shd w:fill="CCEEFF" w:val="clear"/>
            <w:vAlign w:val="center"/>
          </w:tcPr>
          <w:p>
            <w:pPr>
              <w:pStyle w:val="TableContents"/>
              <w:bidi w:val="0"/>
              <w:spacing w:before="0" w:after="283"/>
              <w:jc w:val="left"/>
              <w:rPr>
                <w:b/>
              </w:rPr>
            </w:pPr>
            <w:r>
              <w:rPr>
                <w:b/>
              </w:rPr>
              <w:t>)</w:t>
            </w:r>
            <w:bookmarkStart w:id="141" w:name="xdx_40D_eus-gaap--NetIncomeLossAttributa"/>
            <w:bookmarkEnd w:id="141"/>
          </w:p>
        </w:tc>
      </w:tr>
      <w:tr>
        <w:trPr/>
        <w:tc>
          <w:tcPr>
            <w:tcW w:w="3487" w:type="dxa"/>
            <w:tcBorders/>
            <w:shd w:fill="FFFFFF" w:val="clear"/>
            <w:vAlign w:val="center"/>
          </w:tcPr>
          <w:p>
            <w:pPr>
              <w:pStyle w:val="TableContents"/>
              <w:bidi w:val="0"/>
              <w:spacing w:before="0" w:after="283"/>
              <w:jc w:val="left"/>
              <w:rPr/>
            </w:pPr>
            <w:r>
              <w:rPr/>
              <w:t>Non-controlling interest</w:t>
            </w:r>
          </w:p>
        </w:tc>
        <w:tc>
          <w:tcPr>
            <w:tcW w:w="60" w:type="dxa"/>
            <w:tcBorders/>
            <w:shd w:fill="FFFFFF" w:val="clear"/>
            <w:vAlign w:val="center"/>
          </w:tcPr>
          <w:p>
            <w:pPr>
              <w:pStyle w:val="TableContents"/>
              <w:bidi w:val="0"/>
              <w:spacing w:before="0" w:after="283"/>
              <w:jc w:val="left"/>
              <w:rPr/>
            </w:pPr>
            <w:r>
              <w:rPr/>
              <w:t> </w:t>
            </w:r>
          </w:p>
        </w:tc>
        <w:tc>
          <w:tcPr>
            <w:tcW w:w="17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4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115"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17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4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28" w:type="dxa"/>
            <w:tcBorders>
              <w:bottom w:val="single" w:sz="8" w:space="0" w:color="000000"/>
            </w:tcBorders>
            <w:shd w:fill="FFFFFF" w:val="clear"/>
            <w:tcMar>
              <w:bottom w:w="28" w:type="dxa"/>
            </w:tcMar>
            <w:vAlign w:val="center"/>
          </w:tcPr>
          <w:p>
            <w:pPr>
              <w:pStyle w:val="TableContents"/>
              <w:bidi w:val="0"/>
              <w:spacing w:before="0" w:after="283"/>
              <w:jc w:val="right"/>
              <w:rPr/>
            </w:pPr>
            <w:r>
              <w:rPr/>
              <w:t>(16</w:t>
            </w:r>
          </w:p>
        </w:tc>
        <w:tc>
          <w:tcPr>
            <w:tcW w:w="114" w:type="dxa"/>
            <w:tcBorders/>
            <w:shd w:fill="FFFFFF" w:val="clear"/>
            <w:vAlign w:val="center"/>
          </w:tcPr>
          <w:p>
            <w:pPr>
              <w:pStyle w:val="TableContents"/>
              <w:bidi w:val="0"/>
              <w:spacing w:before="0" w:after="283"/>
              <w:jc w:val="left"/>
              <w:rPr/>
            </w:pPr>
            <w:r>
              <w:rPr/>
              <w:t>)</w:t>
            </w:r>
          </w:p>
        </w:tc>
        <w:tc>
          <w:tcPr>
            <w:tcW w:w="72" w:type="dxa"/>
            <w:tcBorders/>
            <w:shd w:fill="FFFFFF" w:val="clear"/>
            <w:vAlign w:val="center"/>
          </w:tcPr>
          <w:p>
            <w:pPr>
              <w:pStyle w:val="TableContents"/>
              <w:bidi w:val="0"/>
              <w:spacing w:before="0" w:after="283"/>
              <w:jc w:val="left"/>
              <w:rPr/>
            </w:pPr>
            <w:r>
              <w:rPr/>
              <w:t> </w:t>
            </w:r>
          </w:p>
        </w:tc>
        <w:tc>
          <w:tcPr>
            <w:tcW w:w="16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28" w:type="dxa"/>
            <w:tcBorders>
              <w:bottom w:val="single" w:sz="8" w:space="0" w:color="000000"/>
            </w:tcBorders>
            <w:shd w:fill="FFFFFF" w:val="clear"/>
            <w:tcMar>
              <w:bottom w:w="28" w:type="dxa"/>
            </w:tcMar>
            <w:vAlign w:val="center"/>
          </w:tcPr>
          <w:p>
            <w:pPr>
              <w:pStyle w:val="TableContents"/>
              <w:bidi w:val="0"/>
              <w:spacing w:before="0" w:after="283"/>
              <w:jc w:val="right"/>
              <w:rPr/>
            </w:pPr>
            <w:r>
              <w:rPr/>
              <w:t>9</w:t>
            </w:r>
          </w:p>
        </w:tc>
        <w:tc>
          <w:tcPr>
            <w:tcW w:w="117" w:type="dxa"/>
            <w:tcBorders/>
            <w:shd w:fill="FFFFFF" w:val="clear"/>
            <w:vAlign w:val="center"/>
          </w:tcPr>
          <w:p>
            <w:pPr>
              <w:pStyle w:val="TableContents"/>
              <w:bidi w:val="0"/>
              <w:spacing w:before="0" w:after="283"/>
              <w:jc w:val="left"/>
              <w:rPr/>
            </w:pPr>
            <w:r>
              <w:rPr/>
              <w:t> </w:t>
            </w:r>
            <w:bookmarkStart w:id="142" w:name="xdx_400_eus-gaap--NetIncomeLoss_iT_mtNIL"/>
            <w:bookmarkEnd w:id="142"/>
          </w:p>
        </w:tc>
      </w:tr>
      <w:tr>
        <w:trPr/>
        <w:tc>
          <w:tcPr>
            <w:tcW w:w="3487" w:type="dxa"/>
            <w:tcBorders/>
            <w:shd w:fill="CCEEFF" w:val="clear"/>
            <w:vAlign w:val="center"/>
          </w:tcPr>
          <w:p>
            <w:pPr>
              <w:pStyle w:val="TableContents"/>
              <w:bidi w:val="0"/>
              <w:spacing w:before="0" w:after="283"/>
              <w:jc w:val="left"/>
              <w:rPr>
                <w:b/>
              </w:rPr>
            </w:pPr>
            <w:r>
              <w:rPr>
                <w:b/>
              </w:rPr>
              <w:t xml:space="preserve">Net loss attributable to Streamex Corp. </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340" w:type="dxa"/>
            <w:tcBorders/>
            <w:shd w:fill="CCEEFF" w:val="clear"/>
            <w:vAlign w:val="center"/>
          </w:tcPr>
          <w:p>
            <w:pPr>
              <w:pStyle w:val="TableContents"/>
              <w:bidi w:val="0"/>
              <w:spacing w:before="0" w:after="283"/>
              <w:jc w:val="right"/>
              <w:rPr>
                <w:b/>
              </w:rPr>
            </w:pPr>
            <w:r>
              <w:rPr>
                <w:b/>
              </w:rPr>
              <w:t>(15,584</w:t>
            </w:r>
          </w:p>
        </w:tc>
        <w:tc>
          <w:tcPr>
            <w:tcW w:w="115" w:type="dxa"/>
            <w:tcBorders/>
            <w:shd w:fill="CCEEFF" w:val="clear"/>
            <w:vAlign w:val="center"/>
          </w:tcPr>
          <w:p>
            <w:pPr>
              <w:pStyle w:val="TableContents"/>
              <w:bidi w:val="0"/>
              <w:spacing w:before="0" w:after="283"/>
              <w:jc w:val="left"/>
              <w:rPr>
                <w:b/>
              </w:rPr>
            </w:pPr>
            <w:r>
              <w:rPr>
                <w:b/>
              </w:rPr>
              <w:t>)</w:t>
            </w:r>
          </w:p>
        </w:tc>
        <w:tc>
          <w:tcPr>
            <w:tcW w:w="73"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340" w:type="dxa"/>
            <w:tcBorders/>
            <w:shd w:fill="CCEEFF" w:val="clear"/>
            <w:vAlign w:val="center"/>
          </w:tcPr>
          <w:p>
            <w:pPr>
              <w:pStyle w:val="TableContents"/>
              <w:bidi w:val="0"/>
              <w:spacing w:before="0" w:after="283"/>
              <w:jc w:val="right"/>
              <w:rPr>
                <w:b/>
              </w:rPr>
            </w:pPr>
            <w:r>
              <w:rPr>
                <w:b/>
              </w:rPr>
              <w:t>(1,914</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 </w:t>
            </w:r>
          </w:p>
        </w:tc>
        <w:tc>
          <w:tcPr>
            <w:tcW w:w="1328" w:type="dxa"/>
            <w:tcBorders/>
            <w:shd w:fill="CCEEFF" w:val="clear"/>
            <w:vAlign w:val="center"/>
          </w:tcPr>
          <w:p>
            <w:pPr>
              <w:pStyle w:val="TableContents"/>
              <w:bidi w:val="0"/>
              <w:spacing w:before="0" w:after="283"/>
              <w:jc w:val="right"/>
              <w:rPr>
                <w:b/>
              </w:rPr>
            </w:pPr>
            <w:r>
              <w:rPr>
                <w:b/>
              </w:rPr>
              <w:t>(38,767</w:t>
            </w:r>
          </w:p>
        </w:tc>
        <w:tc>
          <w:tcPr>
            <w:tcW w:w="114" w:type="dxa"/>
            <w:tcBorders/>
            <w:shd w:fill="CCEEFF" w:val="clear"/>
            <w:vAlign w:val="center"/>
          </w:tcPr>
          <w:p>
            <w:pPr>
              <w:pStyle w:val="TableContents"/>
              <w:bidi w:val="0"/>
              <w:spacing w:before="0" w:after="283"/>
              <w:jc w:val="left"/>
              <w:rPr>
                <w:b/>
              </w:rPr>
            </w:pPr>
            <w:r>
              <w:rPr>
                <w:b/>
              </w:rPr>
              <w:t>)</w:t>
            </w:r>
          </w:p>
        </w:tc>
        <w:tc>
          <w:tcPr>
            <w:tcW w:w="72"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 </w:t>
            </w:r>
          </w:p>
        </w:tc>
        <w:tc>
          <w:tcPr>
            <w:tcW w:w="1328" w:type="dxa"/>
            <w:tcBorders/>
            <w:shd w:fill="CCEEFF" w:val="clear"/>
            <w:vAlign w:val="center"/>
          </w:tcPr>
          <w:p>
            <w:pPr>
              <w:pStyle w:val="TableContents"/>
              <w:bidi w:val="0"/>
              <w:spacing w:before="0" w:after="283"/>
              <w:jc w:val="right"/>
              <w:rPr>
                <w:b/>
              </w:rPr>
            </w:pPr>
            <w:r>
              <w:rPr>
                <w:b/>
              </w:rPr>
              <w:t>(9,231</w:t>
            </w:r>
          </w:p>
        </w:tc>
        <w:tc>
          <w:tcPr>
            <w:tcW w:w="117" w:type="dxa"/>
            <w:tcBorders/>
            <w:shd w:fill="CCEEFF" w:val="clear"/>
            <w:vAlign w:val="center"/>
          </w:tcPr>
          <w:p>
            <w:pPr>
              <w:pStyle w:val="TableContents"/>
              <w:bidi w:val="0"/>
              <w:spacing w:before="0" w:after="283"/>
              <w:jc w:val="left"/>
              <w:rPr>
                <w:b/>
              </w:rPr>
            </w:pPr>
            <w:r>
              <w:rPr>
                <w:b/>
              </w:rPr>
              <w:t>)</w:t>
            </w:r>
          </w:p>
        </w:tc>
      </w:tr>
      <w:tr>
        <w:trPr/>
        <w:tc>
          <w:tcPr>
            <w:tcW w:w="348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pPr>
            <w:r>
              <w:rPr/>
              <w:t> </w:t>
            </w:r>
          </w:p>
        </w:tc>
        <w:tc>
          <w:tcPr>
            <w:tcW w:w="115"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1328" w:type="dxa"/>
            <w:tcBorders/>
            <w:shd w:fill="FFFFFF" w:val="clear"/>
            <w:vAlign w:val="center"/>
          </w:tcPr>
          <w:p>
            <w:pPr>
              <w:pStyle w:val="TableContents"/>
              <w:bidi w:val="0"/>
              <w:spacing w:before="0" w:after="283"/>
              <w:jc w:val="right"/>
              <w:rPr/>
            </w:pPr>
            <w:r>
              <w:rPr/>
              <w:t> </w:t>
            </w:r>
          </w:p>
        </w:tc>
        <w:tc>
          <w:tcPr>
            <w:tcW w:w="114"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1328" w:type="dxa"/>
            <w:tcBorders/>
            <w:shd w:fill="FFFFFF" w:val="clear"/>
            <w:vAlign w:val="center"/>
          </w:tcPr>
          <w:p>
            <w:pPr>
              <w:pStyle w:val="TableContents"/>
              <w:bidi w:val="0"/>
              <w:spacing w:before="0" w:after="283"/>
              <w:jc w:val="right"/>
              <w:rPr/>
            </w:pPr>
            <w:r>
              <w:rPr/>
              <w:t> </w:t>
            </w:r>
          </w:p>
        </w:tc>
        <w:tc>
          <w:tcPr>
            <w:tcW w:w="117" w:type="dxa"/>
            <w:tcBorders/>
            <w:shd w:fill="FFFFFF" w:val="clear"/>
            <w:vAlign w:val="center"/>
          </w:tcPr>
          <w:p>
            <w:pPr>
              <w:pStyle w:val="TableContents"/>
              <w:bidi w:val="0"/>
              <w:spacing w:before="0" w:after="283"/>
              <w:jc w:val="left"/>
              <w:rPr/>
            </w:pPr>
            <w:r>
              <w:rPr/>
              <w:t> </w:t>
            </w:r>
            <w:bookmarkStart w:id="143" w:name="xdx_401_eus-gaap--DividendsPreferredStoc"/>
            <w:bookmarkEnd w:id="143"/>
          </w:p>
        </w:tc>
      </w:tr>
      <w:tr>
        <w:trPr/>
        <w:tc>
          <w:tcPr>
            <w:tcW w:w="3487" w:type="dxa"/>
            <w:tcBorders/>
            <w:shd w:fill="CCEEFF" w:val="clear"/>
            <w:vAlign w:val="center"/>
          </w:tcPr>
          <w:p>
            <w:pPr>
              <w:pStyle w:val="TableContents"/>
              <w:bidi w:val="0"/>
              <w:spacing w:before="0" w:after="283"/>
              <w:jc w:val="left"/>
              <w:rPr/>
            </w:pPr>
            <w:r>
              <w:rPr/>
              <w:t>Preferred stock dividend</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340" w:type="dxa"/>
            <w:tcBorders/>
            <w:shd w:fill="CCEEFF" w:val="clear"/>
            <w:vAlign w:val="center"/>
          </w:tcPr>
          <w:p>
            <w:pPr>
              <w:pStyle w:val="TableContents"/>
              <w:bidi w:val="0"/>
              <w:spacing w:before="0" w:after="283"/>
              <w:jc w:val="right"/>
              <w:rPr/>
            </w:pPr>
            <w:r>
              <w:rPr/>
              <w:t>(2</w:t>
            </w:r>
          </w:p>
        </w:tc>
        <w:tc>
          <w:tcPr>
            <w:tcW w:w="115" w:type="dxa"/>
            <w:tcBorders/>
            <w:shd w:fill="CCEEFF" w:val="clear"/>
            <w:vAlign w:val="center"/>
          </w:tcPr>
          <w:p>
            <w:pPr>
              <w:pStyle w:val="TableContents"/>
              <w:bidi w:val="0"/>
              <w:spacing w:before="0" w:after="283"/>
              <w:jc w:val="left"/>
              <w:rPr/>
            </w:pPr>
            <w:r>
              <w:rPr/>
              <w:t>)</w:t>
            </w:r>
          </w:p>
        </w:tc>
        <w:tc>
          <w:tcPr>
            <w:tcW w:w="73"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340" w:type="dxa"/>
            <w:tcBorders/>
            <w:shd w:fill="CCEEFF" w:val="clear"/>
            <w:vAlign w:val="center"/>
          </w:tcPr>
          <w:p>
            <w:pPr>
              <w:pStyle w:val="TableContents"/>
              <w:bidi w:val="0"/>
              <w:spacing w:before="0" w:after="283"/>
              <w:jc w:val="right"/>
              <w:rPr/>
            </w:pPr>
            <w:r>
              <w:rPr/>
              <w:t>(2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 </w:t>
            </w:r>
          </w:p>
        </w:tc>
        <w:tc>
          <w:tcPr>
            <w:tcW w:w="1328" w:type="dxa"/>
            <w:tcBorders/>
            <w:shd w:fill="CCEEFF" w:val="clear"/>
            <w:vAlign w:val="center"/>
          </w:tcPr>
          <w:p>
            <w:pPr>
              <w:pStyle w:val="TableContents"/>
              <w:bidi w:val="0"/>
              <w:spacing w:before="0" w:after="283"/>
              <w:jc w:val="right"/>
              <w:rPr/>
            </w:pPr>
            <w:r>
              <w:rPr/>
              <w:t>(7</w:t>
            </w:r>
          </w:p>
        </w:tc>
        <w:tc>
          <w:tcPr>
            <w:tcW w:w="114" w:type="dxa"/>
            <w:tcBorders/>
            <w:shd w:fill="CCEEFF" w:val="clear"/>
            <w:vAlign w:val="center"/>
          </w:tcPr>
          <w:p>
            <w:pPr>
              <w:pStyle w:val="TableContents"/>
              <w:bidi w:val="0"/>
              <w:spacing w:before="0" w:after="283"/>
              <w:jc w:val="left"/>
              <w:rPr/>
            </w:pPr>
            <w:r>
              <w:rPr/>
              <w:t>)</w:t>
            </w:r>
          </w:p>
        </w:tc>
        <w:tc>
          <w:tcPr>
            <w:tcW w:w="72"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 </w:t>
            </w:r>
          </w:p>
        </w:tc>
        <w:tc>
          <w:tcPr>
            <w:tcW w:w="1328" w:type="dxa"/>
            <w:tcBorders/>
            <w:shd w:fill="CCEEFF" w:val="clear"/>
            <w:vAlign w:val="center"/>
          </w:tcPr>
          <w:p>
            <w:pPr>
              <w:pStyle w:val="TableContents"/>
              <w:bidi w:val="0"/>
              <w:spacing w:before="0" w:after="283"/>
              <w:jc w:val="right"/>
              <w:rPr/>
            </w:pPr>
            <w:r>
              <w:rPr/>
              <w:t>(7</w:t>
            </w:r>
          </w:p>
        </w:tc>
        <w:tc>
          <w:tcPr>
            <w:tcW w:w="117" w:type="dxa"/>
            <w:tcBorders/>
            <w:shd w:fill="CCEEFF" w:val="clear"/>
            <w:vAlign w:val="center"/>
          </w:tcPr>
          <w:p>
            <w:pPr>
              <w:pStyle w:val="TableContents"/>
              <w:bidi w:val="0"/>
              <w:spacing w:before="0" w:after="283"/>
              <w:jc w:val="left"/>
              <w:rPr/>
            </w:pPr>
            <w:r>
              <w:rPr/>
              <w:t>)</w:t>
            </w:r>
            <w:bookmarkStart w:id="144" w:name="xdx_408_eus-gaap--PreferredStockDividend"/>
            <w:bookmarkEnd w:id="144"/>
          </w:p>
        </w:tc>
      </w:tr>
      <w:tr>
        <w:trPr/>
        <w:tc>
          <w:tcPr>
            <w:tcW w:w="3487" w:type="dxa"/>
            <w:tcBorders/>
            <w:shd w:fill="FFFFFF" w:val="clear"/>
            <w:vAlign w:val="center"/>
          </w:tcPr>
          <w:p>
            <w:pPr>
              <w:pStyle w:val="TableContents"/>
              <w:bidi w:val="0"/>
              <w:spacing w:before="0" w:after="283"/>
              <w:jc w:val="left"/>
              <w:rPr/>
            </w:pPr>
            <w:r>
              <w:rPr/>
              <w:t>Preferred stock deemed dividend</w:t>
            </w:r>
          </w:p>
        </w:tc>
        <w:tc>
          <w:tcPr>
            <w:tcW w:w="60" w:type="dxa"/>
            <w:tcBorders/>
            <w:shd w:fill="FFFFFF" w:val="clear"/>
            <w:vAlign w:val="center"/>
          </w:tcPr>
          <w:p>
            <w:pPr>
              <w:pStyle w:val="TableContents"/>
              <w:bidi w:val="0"/>
              <w:spacing w:before="0" w:after="283"/>
              <w:jc w:val="left"/>
              <w:rPr/>
            </w:pPr>
            <w:r>
              <w:rPr/>
              <w:t> </w:t>
            </w:r>
          </w:p>
        </w:tc>
        <w:tc>
          <w:tcPr>
            <w:tcW w:w="17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4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115"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17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40" w:type="dxa"/>
            <w:tcBorders>
              <w:bottom w:val="single" w:sz="8" w:space="0" w:color="000000"/>
            </w:tcBorders>
            <w:shd w:fill="FFFFFF" w:val="clear"/>
            <w:tcMar>
              <w:bottom w:w="28" w:type="dxa"/>
            </w:tcMar>
            <w:vAlign w:val="center"/>
          </w:tcPr>
          <w:p>
            <w:pPr>
              <w:pStyle w:val="TableContents"/>
              <w:bidi w:val="0"/>
              <w:spacing w:before="0" w:after="283"/>
              <w:jc w:val="right"/>
              <w:rPr/>
            </w:pPr>
            <w:r>
              <w:rPr/>
              <w:t>(24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6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28"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114"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6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28" w:type="dxa"/>
            <w:tcBorders>
              <w:bottom w:val="single" w:sz="8" w:space="0" w:color="000000"/>
            </w:tcBorders>
            <w:shd w:fill="FFFFFF" w:val="clear"/>
            <w:tcMar>
              <w:bottom w:w="28" w:type="dxa"/>
            </w:tcMar>
            <w:vAlign w:val="center"/>
          </w:tcPr>
          <w:p>
            <w:pPr>
              <w:pStyle w:val="TableContents"/>
              <w:bidi w:val="0"/>
              <w:spacing w:before="0" w:after="283"/>
              <w:jc w:val="right"/>
              <w:rPr/>
            </w:pPr>
            <w:r>
              <w:rPr/>
              <w:t>(157</w:t>
            </w:r>
          </w:p>
        </w:tc>
        <w:tc>
          <w:tcPr>
            <w:tcW w:w="117" w:type="dxa"/>
            <w:tcBorders/>
            <w:shd w:fill="FFFFFF" w:val="clear"/>
            <w:vAlign w:val="center"/>
          </w:tcPr>
          <w:p>
            <w:pPr>
              <w:pStyle w:val="TableContents"/>
              <w:bidi w:val="0"/>
              <w:spacing w:before="0" w:after="283"/>
              <w:jc w:val="left"/>
              <w:rPr/>
            </w:pPr>
            <w:r>
              <w:rPr/>
              <w:t>)</w:t>
            </w:r>
            <w:bookmarkStart w:id="145" w:name="xdx_40F_eus-gaap--NetIncomeLossAvailable"/>
            <w:bookmarkEnd w:id="145"/>
          </w:p>
        </w:tc>
      </w:tr>
      <w:tr>
        <w:trPr/>
        <w:tc>
          <w:tcPr>
            <w:tcW w:w="3487" w:type="dxa"/>
            <w:tcBorders/>
            <w:shd w:fill="CCEEFF" w:val="clear"/>
            <w:vAlign w:val="center"/>
          </w:tcPr>
          <w:p>
            <w:pPr>
              <w:pStyle w:val="TableContents"/>
              <w:bidi w:val="0"/>
              <w:spacing w:before="0" w:after="283"/>
              <w:jc w:val="left"/>
              <w:rPr>
                <w:b/>
              </w:rPr>
            </w:pPr>
            <w:r>
              <w:rPr>
                <w:b/>
              </w:rPr>
              <w:t>Net loss attributed to Streamex Corp. Common Stockholders</w:t>
            </w:r>
          </w:p>
        </w:tc>
        <w:tc>
          <w:tcPr>
            <w:tcW w:w="60" w:type="dxa"/>
            <w:tcBorders/>
            <w:shd w:fill="CCEEFF" w:val="clear"/>
            <w:vAlign w:val="center"/>
          </w:tcPr>
          <w:p>
            <w:pPr>
              <w:pStyle w:val="TableContents"/>
              <w:bidi w:val="0"/>
              <w:spacing w:before="0" w:after="283"/>
              <w:jc w:val="left"/>
              <w:rPr/>
            </w:pPr>
            <w:r>
              <w:rPr/>
              <w:t> </w:t>
            </w:r>
          </w:p>
        </w:tc>
        <w:tc>
          <w:tcPr>
            <w:tcW w:w="17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340"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(15,586</w:t>
            </w:r>
          </w:p>
        </w:tc>
        <w:tc>
          <w:tcPr>
            <w:tcW w:w="115" w:type="dxa"/>
            <w:tcBorders/>
            <w:shd w:fill="CCEEFF" w:val="clear"/>
            <w:vAlign w:val="center"/>
          </w:tcPr>
          <w:p>
            <w:pPr>
              <w:pStyle w:val="TableContents"/>
              <w:bidi w:val="0"/>
              <w:spacing w:before="0" w:after="283"/>
              <w:jc w:val="left"/>
              <w:rPr>
                <w:b/>
              </w:rPr>
            </w:pPr>
            <w:r>
              <w:rPr>
                <w:b/>
              </w:rPr>
              <w:t>)</w:t>
            </w:r>
          </w:p>
        </w:tc>
        <w:tc>
          <w:tcPr>
            <w:tcW w:w="73" w:type="dxa"/>
            <w:tcBorders/>
            <w:shd w:fill="CCEEFF" w:val="clear"/>
            <w:vAlign w:val="center"/>
          </w:tcPr>
          <w:p>
            <w:pPr>
              <w:pStyle w:val="TableContents"/>
              <w:bidi w:val="0"/>
              <w:spacing w:before="0" w:after="283"/>
              <w:jc w:val="left"/>
              <w:rPr/>
            </w:pPr>
            <w:r>
              <w:rPr/>
              <w:t> </w:t>
            </w:r>
          </w:p>
        </w:tc>
        <w:tc>
          <w:tcPr>
            <w:tcW w:w="17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340"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(1,940</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68"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328"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(38,774</w:t>
            </w:r>
          </w:p>
        </w:tc>
        <w:tc>
          <w:tcPr>
            <w:tcW w:w="114" w:type="dxa"/>
            <w:tcBorders/>
            <w:shd w:fill="CCEEFF" w:val="clear"/>
            <w:vAlign w:val="center"/>
          </w:tcPr>
          <w:p>
            <w:pPr>
              <w:pStyle w:val="TableContents"/>
              <w:bidi w:val="0"/>
              <w:spacing w:before="0" w:after="283"/>
              <w:jc w:val="left"/>
              <w:rPr>
                <w:b/>
              </w:rPr>
            </w:pPr>
            <w:r>
              <w:rPr>
                <w:b/>
              </w:rPr>
              <w:t>)</w:t>
            </w:r>
          </w:p>
        </w:tc>
        <w:tc>
          <w:tcPr>
            <w:tcW w:w="72" w:type="dxa"/>
            <w:tcBorders/>
            <w:shd w:fill="CCEEFF" w:val="clear"/>
            <w:vAlign w:val="center"/>
          </w:tcPr>
          <w:p>
            <w:pPr>
              <w:pStyle w:val="TableContents"/>
              <w:bidi w:val="0"/>
              <w:spacing w:before="0" w:after="283"/>
              <w:jc w:val="left"/>
              <w:rPr/>
            </w:pPr>
            <w:r>
              <w:rPr/>
              <w:t> </w:t>
            </w:r>
          </w:p>
        </w:tc>
        <w:tc>
          <w:tcPr>
            <w:tcW w:w="168"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328"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(9,395</w:t>
            </w:r>
          </w:p>
        </w:tc>
        <w:tc>
          <w:tcPr>
            <w:tcW w:w="117" w:type="dxa"/>
            <w:tcBorders/>
            <w:shd w:fill="CCEEFF" w:val="clear"/>
            <w:vAlign w:val="center"/>
          </w:tcPr>
          <w:p>
            <w:pPr>
              <w:pStyle w:val="TableContents"/>
              <w:bidi w:val="0"/>
              <w:spacing w:before="0" w:after="283"/>
              <w:jc w:val="left"/>
              <w:rPr>
                <w:b/>
              </w:rPr>
            </w:pPr>
            <w:r>
              <w:rPr>
                <w:b/>
              </w:rPr>
              <w:t>)</w:t>
            </w:r>
          </w:p>
        </w:tc>
      </w:tr>
      <w:tr>
        <w:trPr/>
        <w:tc>
          <w:tcPr>
            <w:tcW w:w="3487" w:type="dxa"/>
            <w:tcBorders/>
            <w:shd w:fill="FFFFFF" w:val="clear"/>
            <w:vAlign w:val="center"/>
          </w:tcPr>
          <w:p>
            <w:pPr>
              <w:pStyle w:val="TableContents"/>
              <w:bidi w:val="0"/>
              <w:spacing w:before="0" w:after="283"/>
              <w:jc w:val="left"/>
              <w:rPr>
                <w:b/>
              </w:rPr>
            </w:pPr>
            <w:r>
              <w:rPr>
                <w:b/>
              </w:rPr>
              <w:t>Net loss per common share, basic and diluted</w:t>
            </w:r>
          </w:p>
        </w:tc>
        <w:tc>
          <w:tcPr>
            <w:tcW w:w="60" w:type="dxa"/>
            <w:tcBorders/>
            <w:shd w:fill="FFFFFF" w:val="clear"/>
            <w:vAlign w:val="center"/>
          </w:tcPr>
          <w:p>
            <w:pPr>
              <w:pStyle w:val="TableContents"/>
              <w:bidi w:val="0"/>
              <w:spacing w:before="0" w:after="283"/>
              <w:jc w:val="left"/>
              <w:rPr/>
            </w:pPr>
            <w:r>
              <w:rPr/>
              <w:t> </w:t>
            </w:r>
          </w:p>
        </w:tc>
        <w:tc>
          <w:tcPr>
            <w:tcW w:w="170"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1340" w:type="dxa"/>
            <w:tcBorders>
              <w:bottom w:val="double" w:sz="6" w:space="0" w:color="000000"/>
            </w:tcBorders>
            <w:shd w:fill="FFFFFF" w:val="clear"/>
            <w:tcMar>
              <w:bottom w:w="28" w:type="dxa"/>
            </w:tcMar>
            <w:vAlign w:val="center"/>
          </w:tcPr>
          <w:p>
            <w:pPr>
              <w:pStyle w:val="TableContents"/>
              <w:bidi w:val="0"/>
              <w:spacing w:before="0" w:after="283"/>
              <w:jc w:val="right"/>
              <w:rPr>
                <w:b/>
              </w:rPr>
            </w:pPr>
            <w:bookmarkStart w:id="146" w:name="xdx_90D_eus-gaap--EarningsPerShareDilute"/>
            <w:bookmarkStart w:id="147" w:name="xdx_902_eus-gaap--EarningsPerShareBasic_"/>
            <w:bookmarkEnd w:id="146"/>
            <w:bookmarkEnd w:id="147"/>
            <w:r>
              <w:rPr>
                <w:b/>
              </w:rPr>
              <w:t>(0.47</w:t>
            </w:r>
          </w:p>
        </w:tc>
        <w:tc>
          <w:tcPr>
            <w:tcW w:w="115" w:type="dxa"/>
            <w:tcBorders/>
            <w:shd w:fill="FFFFFF" w:val="clear"/>
            <w:vAlign w:val="center"/>
          </w:tcPr>
          <w:p>
            <w:pPr>
              <w:pStyle w:val="TableContents"/>
              <w:bidi w:val="0"/>
              <w:spacing w:before="0" w:after="283"/>
              <w:jc w:val="left"/>
              <w:rPr>
                <w:b/>
              </w:rPr>
            </w:pPr>
            <w:r>
              <w:rPr>
                <w:b/>
              </w:rPr>
              <w:t>)</w:t>
            </w:r>
          </w:p>
        </w:tc>
        <w:tc>
          <w:tcPr>
            <w:tcW w:w="73" w:type="dxa"/>
            <w:tcBorders/>
            <w:shd w:fill="FFFFFF" w:val="clear"/>
            <w:vAlign w:val="center"/>
          </w:tcPr>
          <w:p>
            <w:pPr>
              <w:pStyle w:val="TableContents"/>
              <w:bidi w:val="0"/>
              <w:spacing w:before="0" w:after="283"/>
              <w:jc w:val="left"/>
              <w:rPr/>
            </w:pPr>
            <w:r>
              <w:rPr/>
              <w:t> </w:t>
            </w:r>
          </w:p>
        </w:tc>
        <w:tc>
          <w:tcPr>
            <w:tcW w:w="170"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1340" w:type="dxa"/>
            <w:tcBorders>
              <w:bottom w:val="double" w:sz="6" w:space="0" w:color="000000"/>
            </w:tcBorders>
            <w:shd w:fill="FFFFFF" w:val="clear"/>
            <w:tcMar>
              <w:bottom w:w="28" w:type="dxa"/>
            </w:tcMar>
            <w:vAlign w:val="center"/>
          </w:tcPr>
          <w:p>
            <w:pPr>
              <w:pStyle w:val="TableContents"/>
              <w:bidi w:val="0"/>
              <w:spacing w:before="0" w:after="283"/>
              <w:jc w:val="right"/>
              <w:rPr>
                <w:b/>
              </w:rPr>
            </w:pPr>
            <w:bookmarkStart w:id="148" w:name="xdx_90A_eus-gaap--EarningsPerShareDilute"/>
            <w:bookmarkStart w:id="149" w:name="xdx_909_eus-gaap--EarningsPerShareBasic_"/>
            <w:bookmarkEnd w:id="148"/>
            <w:bookmarkEnd w:id="149"/>
            <w:r>
              <w:rPr>
                <w:b/>
              </w:rPr>
              <w:t>(0.12</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168"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1328" w:type="dxa"/>
            <w:tcBorders>
              <w:bottom w:val="double" w:sz="6" w:space="0" w:color="000000"/>
            </w:tcBorders>
            <w:shd w:fill="FFFFFF" w:val="clear"/>
            <w:tcMar>
              <w:bottom w:w="28" w:type="dxa"/>
            </w:tcMar>
            <w:vAlign w:val="center"/>
          </w:tcPr>
          <w:p>
            <w:pPr>
              <w:pStyle w:val="TableContents"/>
              <w:bidi w:val="0"/>
              <w:spacing w:before="0" w:after="283"/>
              <w:jc w:val="right"/>
              <w:rPr>
                <w:b/>
              </w:rPr>
            </w:pPr>
            <w:bookmarkStart w:id="150" w:name="xdx_90A_eus-gaap--EarningsPerShareDilute"/>
            <w:bookmarkStart w:id="151" w:name="xdx_900_eus-gaap--EarningsPerShareBasic_"/>
            <w:bookmarkEnd w:id="150"/>
            <w:bookmarkEnd w:id="151"/>
            <w:r>
              <w:rPr>
                <w:b/>
              </w:rPr>
              <w:t>(1.42</w:t>
            </w:r>
          </w:p>
        </w:tc>
        <w:tc>
          <w:tcPr>
            <w:tcW w:w="114" w:type="dxa"/>
            <w:tcBorders/>
            <w:shd w:fill="FFFFFF" w:val="clear"/>
            <w:vAlign w:val="center"/>
          </w:tcPr>
          <w:p>
            <w:pPr>
              <w:pStyle w:val="TableContents"/>
              <w:bidi w:val="0"/>
              <w:spacing w:before="0" w:after="283"/>
              <w:jc w:val="left"/>
              <w:rPr>
                <w:b/>
              </w:rPr>
            </w:pPr>
            <w:r>
              <w:rPr>
                <w:b/>
              </w:rPr>
              <w:t>)</w:t>
            </w:r>
          </w:p>
        </w:tc>
        <w:tc>
          <w:tcPr>
            <w:tcW w:w="72" w:type="dxa"/>
            <w:tcBorders/>
            <w:shd w:fill="FFFFFF" w:val="clear"/>
            <w:vAlign w:val="center"/>
          </w:tcPr>
          <w:p>
            <w:pPr>
              <w:pStyle w:val="TableContents"/>
              <w:bidi w:val="0"/>
              <w:spacing w:before="0" w:after="283"/>
              <w:jc w:val="left"/>
              <w:rPr/>
            </w:pPr>
            <w:r>
              <w:rPr/>
              <w:t> </w:t>
            </w:r>
          </w:p>
        </w:tc>
        <w:tc>
          <w:tcPr>
            <w:tcW w:w="168"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1328" w:type="dxa"/>
            <w:tcBorders>
              <w:bottom w:val="double" w:sz="6" w:space="0" w:color="000000"/>
            </w:tcBorders>
            <w:shd w:fill="FFFFFF" w:val="clear"/>
            <w:tcMar>
              <w:bottom w:w="28" w:type="dxa"/>
            </w:tcMar>
            <w:vAlign w:val="center"/>
          </w:tcPr>
          <w:p>
            <w:pPr>
              <w:pStyle w:val="TableContents"/>
              <w:bidi w:val="0"/>
              <w:spacing w:before="0" w:after="283"/>
              <w:jc w:val="right"/>
              <w:rPr>
                <w:b/>
              </w:rPr>
            </w:pPr>
            <w:bookmarkStart w:id="152" w:name="xdx_903_eus-gaap--EarningsPerShareDilute"/>
            <w:bookmarkStart w:id="153" w:name="xdx_900_eus-gaap--EarningsPerShareBasic_"/>
            <w:bookmarkEnd w:id="152"/>
            <w:bookmarkEnd w:id="153"/>
            <w:r>
              <w:rPr>
                <w:b/>
              </w:rPr>
              <w:t>(0.72</w:t>
            </w:r>
          </w:p>
        </w:tc>
        <w:tc>
          <w:tcPr>
            <w:tcW w:w="117" w:type="dxa"/>
            <w:tcBorders/>
            <w:shd w:fill="FFFFFF" w:val="clear"/>
            <w:vAlign w:val="center"/>
          </w:tcPr>
          <w:p>
            <w:pPr>
              <w:pStyle w:val="TableContents"/>
              <w:bidi w:val="0"/>
              <w:spacing w:before="0" w:after="283"/>
              <w:jc w:val="left"/>
              <w:rPr>
                <w:b/>
              </w:rPr>
            </w:pPr>
            <w:r>
              <w:rPr>
                <w:b/>
              </w:rPr>
              <w:t>)</w:t>
            </w:r>
          </w:p>
        </w:tc>
      </w:tr>
      <w:tr>
        <w:trPr/>
        <w:tc>
          <w:tcPr>
            <w:tcW w:w="3487" w:type="dxa"/>
            <w:tcBorders/>
            <w:shd w:fill="CCEEFF" w:val="clear"/>
            <w:vAlign w:val="center"/>
          </w:tcPr>
          <w:p>
            <w:pPr>
              <w:pStyle w:val="TableContents"/>
              <w:bidi w:val="0"/>
              <w:spacing w:before="0" w:after="283"/>
              <w:jc w:val="left"/>
              <w:rPr/>
            </w:pPr>
            <w:r>
              <w:rPr/>
              <w:t>Weighted average number of common shares outstanding, basic and diluted</w:t>
            </w:r>
          </w:p>
        </w:tc>
        <w:tc>
          <w:tcPr>
            <w:tcW w:w="60" w:type="dxa"/>
            <w:tcBorders/>
            <w:shd w:fill="CCEEFF" w:val="clear"/>
            <w:vAlign w:val="center"/>
          </w:tcPr>
          <w:p>
            <w:pPr>
              <w:pStyle w:val="TableContents"/>
              <w:bidi w:val="0"/>
              <w:spacing w:before="0" w:after="283"/>
              <w:jc w:val="left"/>
              <w:rPr/>
            </w:pPr>
            <w:r>
              <w:rPr/>
              <w:t> </w:t>
            </w:r>
          </w:p>
        </w:tc>
        <w:tc>
          <w:tcPr>
            <w:tcW w:w="17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340" w:type="dxa"/>
            <w:tcBorders>
              <w:bottom w:val="double" w:sz="6" w:space="0" w:color="000000"/>
            </w:tcBorders>
            <w:shd w:fill="CCEEFF" w:val="clear"/>
            <w:tcMar>
              <w:bottom w:w="28" w:type="dxa"/>
            </w:tcMar>
            <w:vAlign w:val="center"/>
          </w:tcPr>
          <w:p>
            <w:pPr>
              <w:pStyle w:val="TableContents"/>
              <w:bidi w:val="0"/>
              <w:spacing w:before="0" w:after="283"/>
              <w:jc w:val="right"/>
              <w:rPr/>
            </w:pPr>
            <w:bookmarkStart w:id="154" w:name="xdx_90C_eus-gaap--WeightedAverageNumberO"/>
            <w:bookmarkStart w:id="155" w:name="xdx_902_eus-gaap--WeightedAverageNumberO"/>
            <w:bookmarkEnd w:id="154"/>
            <w:bookmarkEnd w:id="155"/>
            <w:r>
              <w:rPr/>
              <w:t>33,352,004</w:t>
            </w:r>
          </w:p>
        </w:tc>
        <w:tc>
          <w:tcPr>
            <w:tcW w:w="115"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7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340" w:type="dxa"/>
            <w:tcBorders>
              <w:bottom w:val="double" w:sz="6" w:space="0" w:color="000000"/>
            </w:tcBorders>
            <w:shd w:fill="CCEEFF" w:val="clear"/>
            <w:tcMar>
              <w:bottom w:w="28" w:type="dxa"/>
            </w:tcMar>
            <w:vAlign w:val="center"/>
          </w:tcPr>
          <w:p>
            <w:pPr>
              <w:pStyle w:val="TableContents"/>
              <w:bidi w:val="0"/>
              <w:spacing w:before="0" w:after="283"/>
              <w:jc w:val="right"/>
              <w:rPr/>
            </w:pPr>
            <w:bookmarkStart w:id="156" w:name="xdx_902_eus-gaap--WeightedAverageNumberO"/>
            <w:bookmarkStart w:id="157" w:name="xdx_90C_eus-gaap--WeightedAverageNumberO"/>
            <w:bookmarkEnd w:id="156"/>
            <w:bookmarkEnd w:id="157"/>
            <w:r>
              <w:rPr/>
              <w:t>16,200,928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8"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328" w:type="dxa"/>
            <w:tcBorders>
              <w:bottom w:val="double" w:sz="6" w:space="0" w:color="000000"/>
            </w:tcBorders>
            <w:shd w:fill="CCEEFF" w:val="clear"/>
            <w:tcMar>
              <w:bottom w:w="28" w:type="dxa"/>
            </w:tcMar>
            <w:vAlign w:val="center"/>
          </w:tcPr>
          <w:p>
            <w:pPr>
              <w:pStyle w:val="TableContents"/>
              <w:bidi w:val="0"/>
              <w:spacing w:before="0" w:after="283"/>
              <w:jc w:val="right"/>
              <w:rPr/>
            </w:pPr>
            <w:bookmarkStart w:id="158" w:name="xdx_907_eus-gaap--WeightedAverageNumberO"/>
            <w:bookmarkStart w:id="159" w:name="xdx_90E_eus-gaap--WeightedAverageNumberO"/>
            <w:bookmarkEnd w:id="158"/>
            <w:bookmarkEnd w:id="159"/>
            <w:r>
              <w:rPr/>
              <w:t>27,343,190</w:t>
            </w:r>
          </w:p>
        </w:tc>
        <w:tc>
          <w:tcPr>
            <w:tcW w:w="114"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68"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328" w:type="dxa"/>
            <w:tcBorders>
              <w:bottom w:val="double" w:sz="6" w:space="0" w:color="000000"/>
            </w:tcBorders>
            <w:shd w:fill="CCEEFF" w:val="clear"/>
            <w:tcMar>
              <w:bottom w:w="28" w:type="dxa"/>
            </w:tcMar>
            <w:vAlign w:val="center"/>
          </w:tcPr>
          <w:p>
            <w:pPr>
              <w:pStyle w:val="TableContents"/>
              <w:bidi w:val="0"/>
              <w:spacing w:before="0" w:after="283"/>
              <w:jc w:val="right"/>
              <w:rPr/>
            </w:pPr>
            <w:bookmarkStart w:id="160" w:name="xdx_909_eus-gaap--WeightedAverageNumberO"/>
            <w:bookmarkStart w:id="161" w:name="xdx_908_eus-gaap--WeightedAverageNumberO"/>
            <w:bookmarkEnd w:id="160"/>
            <w:bookmarkEnd w:id="161"/>
            <w:r>
              <w:rPr/>
              <w:t>13,002,868</w:t>
            </w:r>
          </w:p>
        </w:tc>
        <w:tc>
          <w:tcPr>
            <w:tcW w:w="117" w:type="dxa"/>
            <w:tcBorders/>
            <w:shd w:fill="CCEEFF" w:val="clear"/>
            <w:vAlign w:val="center"/>
          </w:tcPr>
          <w:p>
            <w:pPr>
              <w:pStyle w:val="TableContents"/>
              <w:bidi w:val="0"/>
              <w:spacing w:before="0" w:after="283"/>
              <w:jc w:val="left"/>
              <w:rPr/>
            </w:pPr>
            <w:r>
              <w:rPr/>
              <w:t> </w:t>
            </w:r>
          </w:p>
        </w:tc>
      </w:tr>
      <w:tr>
        <w:trPr/>
        <w:tc>
          <w:tcPr>
            <w:tcW w:w="348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pPr>
            <w:r>
              <w:rPr/>
              <w:t> </w:t>
            </w:r>
          </w:p>
        </w:tc>
        <w:tc>
          <w:tcPr>
            <w:tcW w:w="115"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1328" w:type="dxa"/>
            <w:tcBorders/>
            <w:shd w:fill="FFFFFF" w:val="clear"/>
            <w:vAlign w:val="center"/>
          </w:tcPr>
          <w:p>
            <w:pPr>
              <w:pStyle w:val="TableContents"/>
              <w:bidi w:val="0"/>
              <w:spacing w:before="0" w:after="283"/>
              <w:jc w:val="right"/>
              <w:rPr/>
            </w:pPr>
            <w:r>
              <w:rPr/>
              <w:t> </w:t>
            </w:r>
          </w:p>
        </w:tc>
        <w:tc>
          <w:tcPr>
            <w:tcW w:w="114"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1328" w:type="dxa"/>
            <w:tcBorders/>
            <w:shd w:fill="FFFFFF" w:val="clear"/>
            <w:vAlign w:val="center"/>
          </w:tcPr>
          <w:p>
            <w:pPr>
              <w:pStyle w:val="TableContents"/>
              <w:bidi w:val="0"/>
              <w:spacing w:before="0" w:after="283"/>
              <w:jc w:val="right"/>
              <w:rPr/>
            </w:pPr>
            <w:r>
              <w:rPr/>
              <w:t> </w:t>
            </w:r>
          </w:p>
        </w:tc>
        <w:tc>
          <w:tcPr>
            <w:tcW w:w="117" w:type="dxa"/>
            <w:tcBorders/>
            <w:shd w:fill="FFFFFF" w:val="clear"/>
            <w:vAlign w:val="center"/>
          </w:tcPr>
          <w:p>
            <w:pPr>
              <w:pStyle w:val="TableContents"/>
              <w:bidi w:val="0"/>
              <w:spacing w:before="0" w:after="283"/>
              <w:jc w:val="left"/>
              <w:rPr/>
            </w:pPr>
            <w:r>
              <w:rPr/>
              <w:t> </w:t>
            </w:r>
            <w:bookmarkStart w:id="162" w:name="xdx_40F_eus-gaap--OtherComprehensiveInco"/>
            <w:bookmarkEnd w:id="162"/>
          </w:p>
        </w:tc>
      </w:tr>
      <w:tr>
        <w:trPr/>
        <w:tc>
          <w:tcPr>
            <w:tcW w:w="3487" w:type="dxa"/>
            <w:tcBorders/>
            <w:shd w:fill="CCEEFF" w:val="clear"/>
            <w:vAlign w:val="center"/>
          </w:tcPr>
          <w:p>
            <w:pPr>
              <w:pStyle w:val="TableContents"/>
              <w:bidi w:val="0"/>
              <w:spacing w:before="0" w:after="283"/>
              <w:jc w:val="left"/>
              <w:rPr>
                <w:b/>
              </w:rPr>
            </w:pPr>
            <w:r>
              <w:rPr>
                <w:b/>
              </w:rPr>
              <w:t>Comprehensive (Loss) Income:</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340" w:type="dxa"/>
            <w:tcBorders/>
            <w:shd w:fill="CCEEFF" w:val="clear"/>
            <w:vAlign w:val="center"/>
          </w:tcPr>
          <w:p>
            <w:pPr>
              <w:pStyle w:val="TableContents"/>
              <w:bidi w:val="0"/>
              <w:spacing w:before="0" w:after="283"/>
              <w:jc w:val="right"/>
              <w:rPr/>
            </w:pPr>
            <w:r>
              <w:rPr/>
              <w:t> </w:t>
            </w:r>
          </w:p>
        </w:tc>
        <w:tc>
          <w:tcPr>
            <w:tcW w:w="115"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34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 </w:t>
            </w:r>
          </w:p>
        </w:tc>
        <w:tc>
          <w:tcPr>
            <w:tcW w:w="1328" w:type="dxa"/>
            <w:tcBorders/>
            <w:shd w:fill="CCEEFF" w:val="clear"/>
            <w:vAlign w:val="center"/>
          </w:tcPr>
          <w:p>
            <w:pPr>
              <w:pStyle w:val="TableContents"/>
              <w:bidi w:val="0"/>
              <w:spacing w:before="0" w:after="283"/>
              <w:jc w:val="right"/>
              <w:rPr/>
            </w:pPr>
            <w:r>
              <w:rPr/>
              <w:t> </w:t>
            </w:r>
          </w:p>
        </w:tc>
        <w:tc>
          <w:tcPr>
            <w:tcW w:w="114"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 </w:t>
            </w:r>
          </w:p>
        </w:tc>
        <w:tc>
          <w:tcPr>
            <w:tcW w:w="1328" w:type="dxa"/>
            <w:tcBorders/>
            <w:shd w:fill="CCEEFF" w:val="clear"/>
            <w:vAlign w:val="center"/>
          </w:tcPr>
          <w:p>
            <w:pPr>
              <w:pStyle w:val="TableContents"/>
              <w:bidi w:val="0"/>
              <w:spacing w:before="0" w:after="283"/>
              <w:jc w:val="right"/>
              <w:rPr/>
            </w:pPr>
            <w:r>
              <w:rPr/>
              <w:t> </w:t>
            </w:r>
          </w:p>
        </w:tc>
        <w:tc>
          <w:tcPr>
            <w:tcW w:w="117" w:type="dxa"/>
            <w:tcBorders/>
            <w:shd w:fill="CCEEFF" w:val="clear"/>
            <w:vAlign w:val="center"/>
          </w:tcPr>
          <w:p>
            <w:pPr>
              <w:pStyle w:val="TableContents"/>
              <w:bidi w:val="0"/>
              <w:spacing w:before="0" w:after="283"/>
              <w:jc w:val="left"/>
              <w:rPr/>
            </w:pPr>
            <w:r>
              <w:rPr/>
              <w:t> </w:t>
            </w:r>
            <w:bookmarkStart w:id="163" w:name="xdx_40D_eus-gaap--ProfitLoss_iT_maCINOTz"/>
            <w:bookmarkEnd w:id="163"/>
          </w:p>
        </w:tc>
      </w:tr>
      <w:tr>
        <w:trPr/>
        <w:tc>
          <w:tcPr>
            <w:tcW w:w="3487" w:type="dxa"/>
            <w:tcBorders/>
            <w:shd w:fill="FFFFFF" w:val="clear"/>
            <w:vAlign w:val="center"/>
          </w:tcPr>
          <w:p>
            <w:pPr>
              <w:pStyle w:val="TableContents"/>
              <w:bidi w:val="0"/>
              <w:spacing w:before="0" w:after="283"/>
              <w:jc w:val="left"/>
              <w:rPr/>
            </w:pPr>
            <w:r>
              <w:rPr/>
              <w:t>Net loss</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w:t>
            </w:r>
          </w:p>
        </w:tc>
        <w:tc>
          <w:tcPr>
            <w:tcW w:w="1340" w:type="dxa"/>
            <w:tcBorders/>
            <w:shd w:fill="FFFFFF" w:val="clear"/>
            <w:vAlign w:val="center"/>
          </w:tcPr>
          <w:p>
            <w:pPr>
              <w:pStyle w:val="TableContents"/>
              <w:bidi w:val="0"/>
              <w:spacing w:before="0" w:after="283"/>
              <w:jc w:val="right"/>
              <w:rPr/>
            </w:pPr>
            <w:r>
              <w:rPr/>
              <w:t>(15,584</w:t>
            </w:r>
          </w:p>
        </w:tc>
        <w:tc>
          <w:tcPr>
            <w:tcW w:w="115" w:type="dxa"/>
            <w:tcBorders/>
            <w:shd w:fill="FFFFFF" w:val="clear"/>
            <w:vAlign w:val="center"/>
          </w:tcPr>
          <w:p>
            <w:pPr>
              <w:pStyle w:val="TableContents"/>
              <w:bidi w:val="0"/>
              <w:spacing w:before="0" w:after="283"/>
              <w:jc w:val="left"/>
              <w:rPr/>
            </w:pPr>
            <w:r>
              <w:rPr/>
              <w:t>)</w:t>
            </w:r>
          </w:p>
        </w:tc>
        <w:tc>
          <w:tcPr>
            <w:tcW w:w="73"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w:t>
            </w:r>
          </w:p>
        </w:tc>
        <w:tc>
          <w:tcPr>
            <w:tcW w:w="1340" w:type="dxa"/>
            <w:tcBorders/>
            <w:shd w:fill="FFFFFF" w:val="clear"/>
            <w:vAlign w:val="center"/>
          </w:tcPr>
          <w:p>
            <w:pPr>
              <w:pStyle w:val="TableContents"/>
              <w:bidi w:val="0"/>
              <w:spacing w:before="0" w:after="283"/>
              <w:jc w:val="right"/>
              <w:rPr/>
            </w:pPr>
            <w:r>
              <w:rPr/>
              <w:t>(1,914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w:t>
            </w:r>
          </w:p>
        </w:tc>
        <w:tc>
          <w:tcPr>
            <w:tcW w:w="1328" w:type="dxa"/>
            <w:tcBorders/>
            <w:shd w:fill="FFFFFF" w:val="clear"/>
            <w:vAlign w:val="center"/>
          </w:tcPr>
          <w:p>
            <w:pPr>
              <w:pStyle w:val="TableContents"/>
              <w:bidi w:val="0"/>
              <w:spacing w:before="0" w:after="283"/>
              <w:jc w:val="right"/>
              <w:rPr/>
            </w:pPr>
            <w:r>
              <w:rPr/>
              <w:t>(38,751</w:t>
            </w:r>
          </w:p>
        </w:tc>
        <w:tc>
          <w:tcPr>
            <w:tcW w:w="114" w:type="dxa"/>
            <w:tcBorders/>
            <w:shd w:fill="FFFFFF" w:val="clear"/>
            <w:vAlign w:val="center"/>
          </w:tcPr>
          <w:p>
            <w:pPr>
              <w:pStyle w:val="TableContents"/>
              <w:bidi w:val="0"/>
              <w:spacing w:before="0" w:after="283"/>
              <w:jc w:val="left"/>
              <w:rPr/>
            </w:pPr>
            <w:r>
              <w:rPr/>
              <w:t>)</w:t>
            </w:r>
          </w:p>
        </w:tc>
        <w:tc>
          <w:tcPr>
            <w:tcW w:w="72"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w:t>
            </w:r>
          </w:p>
        </w:tc>
        <w:tc>
          <w:tcPr>
            <w:tcW w:w="1328" w:type="dxa"/>
            <w:tcBorders/>
            <w:shd w:fill="FFFFFF" w:val="clear"/>
            <w:vAlign w:val="center"/>
          </w:tcPr>
          <w:p>
            <w:pPr>
              <w:pStyle w:val="TableContents"/>
              <w:bidi w:val="0"/>
              <w:spacing w:before="0" w:after="283"/>
              <w:jc w:val="right"/>
              <w:rPr/>
            </w:pPr>
            <w:r>
              <w:rPr/>
              <w:t>(9,240</w:t>
            </w:r>
          </w:p>
        </w:tc>
        <w:tc>
          <w:tcPr>
            <w:tcW w:w="117" w:type="dxa"/>
            <w:tcBorders/>
            <w:shd w:fill="FFFFFF" w:val="clear"/>
            <w:vAlign w:val="center"/>
          </w:tcPr>
          <w:p>
            <w:pPr>
              <w:pStyle w:val="TableContents"/>
              <w:bidi w:val="0"/>
              <w:spacing w:before="0" w:after="283"/>
              <w:jc w:val="left"/>
              <w:rPr/>
            </w:pPr>
            <w:r>
              <w:rPr/>
              <w:t>)</w:t>
            </w:r>
          </w:p>
        </w:tc>
      </w:tr>
      <w:tr>
        <w:trPr/>
        <w:tc>
          <w:tcPr>
            <w:tcW w:w="3487" w:type="dxa"/>
            <w:tcBorders/>
            <w:shd w:fill="CCEEFF" w:val="clear"/>
            <w:vAlign w:val="center"/>
          </w:tcPr>
          <w:p>
            <w:pPr>
              <w:pStyle w:val="TableContents"/>
              <w:bidi w:val="0"/>
              <w:spacing w:before="0" w:after="283"/>
              <w:jc w:val="left"/>
              <w:rPr/>
            </w:pPr>
            <w:r>
              <w:rPr/>
              <w:t>Other comprehensive loss:</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340" w:type="dxa"/>
            <w:tcBorders/>
            <w:shd w:fill="CCEEFF" w:val="clear"/>
            <w:vAlign w:val="center"/>
          </w:tcPr>
          <w:p>
            <w:pPr>
              <w:pStyle w:val="TableContents"/>
              <w:bidi w:val="0"/>
              <w:spacing w:before="0" w:after="283"/>
              <w:jc w:val="right"/>
              <w:rPr/>
            </w:pPr>
            <w:r>
              <w:rPr/>
              <w:t> </w:t>
            </w:r>
          </w:p>
        </w:tc>
        <w:tc>
          <w:tcPr>
            <w:tcW w:w="115"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34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 </w:t>
            </w:r>
          </w:p>
        </w:tc>
        <w:tc>
          <w:tcPr>
            <w:tcW w:w="1328" w:type="dxa"/>
            <w:tcBorders/>
            <w:shd w:fill="CCEEFF" w:val="clear"/>
            <w:vAlign w:val="center"/>
          </w:tcPr>
          <w:p>
            <w:pPr>
              <w:pStyle w:val="TableContents"/>
              <w:bidi w:val="0"/>
              <w:spacing w:before="0" w:after="283"/>
              <w:jc w:val="right"/>
              <w:rPr/>
            </w:pPr>
            <w:r>
              <w:rPr/>
              <w:t> </w:t>
            </w:r>
          </w:p>
        </w:tc>
        <w:tc>
          <w:tcPr>
            <w:tcW w:w="114"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 </w:t>
            </w:r>
          </w:p>
        </w:tc>
        <w:tc>
          <w:tcPr>
            <w:tcW w:w="1328" w:type="dxa"/>
            <w:tcBorders/>
            <w:shd w:fill="CCEEFF" w:val="clear"/>
            <w:vAlign w:val="center"/>
          </w:tcPr>
          <w:p>
            <w:pPr>
              <w:pStyle w:val="TableContents"/>
              <w:bidi w:val="0"/>
              <w:spacing w:before="0" w:after="283"/>
              <w:jc w:val="right"/>
              <w:rPr/>
            </w:pPr>
            <w:r>
              <w:rPr/>
              <w:t> </w:t>
            </w:r>
          </w:p>
        </w:tc>
        <w:tc>
          <w:tcPr>
            <w:tcW w:w="117" w:type="dxa"/>
            <w:tcBorders/>
            <w:shd w:fill="CCEEFF" w:val="clear"/>
            <w:vAlign w:val="center"/>
          </w:tcPr>
          <w:p>
            <w:pPr>
              <w:pStyle w:val="TableContents"/>
              <w:bidi w:val="0"/>
              <w:spacing w:before="0" w:after="283"/>
              <w:jc w:val="left"/>
              <w:rPr/>
            </w:pPr>
            <w:r>
              <w:rPr/>
              <w:t> </w:t>
            </w:r>
            <w:bookmarkStart w:id="164" w:name="xdx_40C_eus-gaap--OtherComprehensiveInco"/>
            <w:bookmarkEnd w:id="164"/>
          </w:p>
        </w:tc>
      </w:tr>
      <w:tr>
        <w:trPr/>
        <w:tc>
          <w:tcPr>
            <w:tcW w:w="3487" w:type="dxa"/>
            <w:tcBorders/>
            <w:shd w:fill="FFFFFF" w:val="clear"/>
            <w:vAlign w:val="center"/>
          </w:tcPr>
          <w:p>
            <w:pPr>
              <w:pStyle w:val="TableContents"/>
              <w:bidi w:val="0"/>
              <w:spacing w:before="0" w:after="283"/>
              <w:jc w:val="left"/>
              <w:rPr/>
            </w:pPr>
            <w:r>
              <w:rPr/>
              <w:t>Change in foreign currency translation adjustments</w:t>
            </w:r>
          </w:p>
        </w:tc>
        <w:tc>
          <w:tcPr>
            <w:tcW w:w="60" w:type="dxa"/>
            <w:tcBorders/>
            <w:shd w:fill="FFFFFF" w:val="clear"/>
            <w:vAlign w:val="center"/>
          </w:tcPr>
          <w:p>
            <w:pPr>
              <w:pStyle w:val="TableContents"/>
              <w:bidi w:val="0"/>
              <w:spacing w:before="0" w:after="283"/>
              <w:jc w:val="left"/>
              <w:rPr/>
            </w:pPr>
            <w:r>
              <w:rPr/>
              <w:t> </w:t>
            </w:r>
          </w:p>
        </w:tc>
        <w:tc>
          <w:tcPr>
            <w:tcW w:w="17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40" w:type="dxa"/>
            <w:tcBorders>
              <w:bottom w:val="single" w:sz="8" w:space="0" w:color="000000"/>
            </w:tcBorders>
            <w:shd w:fill="FFFFFF" w:val="clear"/>
            <w:tcMar>
              <w:bottom w:w="28" w:type="dxa"/>
            </w:tcMar>
            <w:vAlign w:val="center"/>
          </w:tcPr>
          <w:p>
            <w:pPr>
              <w:pStyle w:val="TableContents"/>
              <w:bidi w:val="0"/>
              <w:spacing w:before="0" w:after="283"/>
              <w:jc w:val="right"/>
              <w:rPr/>
            </w:pPr>
            <w:r>
              <w:rPr/>
              <w:t>(2,325</w:t>
            </w:r>
          </w:p>
        </w:tc>
        <w:tc>
          <w:tcPr>
            <w:tcW w:w="115" w:type="dxa"/>
            <w:tcBorders/>
            <w:shd w:fill="FFFFFF" w:val="clear"/>
            <w:vAlign w:val="center"/>
          </w:tcPr>
          <w:p>
            <w:pPr>
              <w:pStyle w:val="TableContents"/>
              <w:bidi w:val="0"/>
              <w:spacing w:before="0" w:after="283"/>
              <w:jc w:val="left"/>
              <w:rPr/>
            </w:pPr>
            <w:r>
              <w:rPr/>
              <w:t>)</w:t>
            </w:r>
          </w:p>
        </w:tc>
        <w:tc>
          <w:tcPr>
            <w:tcW w:w="73" w:type="dxa"/>
            <w:tcBorders/>
            <w:shd w:fill="FFFFFF" w:val="clear"/>
            <w:vAlign w:val="center"/>
          </w:tcPr>
          <w:p>
            <w:pPr>
              <w:pStyle w:val="TableContents"/>
              <w:bidi w:val="0"/>
              <w:spacing w:before="0" w:after="283"/>
              <w:jc w:val="left"/>
              <w:rPr/>
            </w:pPr>
            <w:r>
              <w:rPr/>
              <w:t> </w:t>
            </w:r>
          </w:p>
        </w:tc>
        <w:tc>
          <w:tcPr>
            <w:tcW w:w="17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4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28" w:type="dxa"/>
            <w:tcBorders>
              <w:bottom w:val="single" w:sz="8" w:space="0" w:color="000000"/>
            </w:tcBorders>
            <w:shd w:fill="FFFFFF" w:val="clear"/>
            <w:tcMar>
              <w:bottom w:w="28" w:type="dxa"/>
            </w:tcMar>
            <w:vAlign w:val="center"/>
          </w:tcPr>
          <w:p>
            <w:pPr>
              <w:pStyle w:val="TableContents"/>
              <w:bidi w:val="0"/>
              <w:spacing w:before="0" w:after="283"/>
              <w:jc w:val="right"/>
              <w:rPr/>
            </w:pPr>
            <w:r>
              <w:rPr/>
              <w:t>(787</w:t>
            </w:r>
          </w:p>
        </w:tc>
        <w:tc>
          <w:tcPr>
            <w:tcW w:w="114" w:type="dxa"/>
            <w:tcBorders/>
            <w:shd w:fill="FFFFFF" w:val="clear"/>
            <w:vAlign w:val="center"/>
          </w:tcPr>
          <w:p>
            <w:pPr>
              <w:pStyle w:val="TableContents"/>
              <w:bidi w:val="0"/>
              <w:spacing w:before="0" w:after="283"/>
              <w:jc w:val="left"/>
              <w:rPr/>
            </w:pPr>
            <w:r>
              <w:rPr/>
              <w:t>)</w:t>
            </w:r>
          </w:p>
        </w:tc>
        <w:tc>
          <w:tcPr>
            <w:tcW w:w="72" w:type="dxa"/>
            <w:tcBorders/>
            <w:shd w:fill="FFFFFF" w:val="clear"/>
            <w:vAlign w:val="center"/>
          </w:tcPr>
          <w:p>
            <w:pPr>
              <w:pStyle w:val="TableContents"/>
              <w:bidi w:val="0"/>
              <w:spacing w:before="0" w:after="283"/>
              <w:jc w:val="left"/>
              <w:rPr/>
            </w:pPr>
            <w:r>
              <w:rPr/>
              <w:t> </w:t>
            </w:r>
          </w:p>
        </w:tc>
        <w:tc>
          <w:tcPr>
            <w:tcW w:w="16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28"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117" w:type="dxa"/>
            <w:tcBorders/>
            <w:shd w:fill="FFFFFF" w:val="clear"/>
            <w:vAlign w:val="center"/>
          </w:tcPr>
          <w:p>
            <w:pPr>
              <w:pStyle w:val="TableContents"/>
              <w:bidi w:val="0"/>
              <w:spacing w:before="0" w:after="283"/>
              <w:jc w:val="left"/>
              <w:rPr/>
            </w:pPr>
            <w:r>
              <w:rPr/>
              <w:t> </w:t>
            </w:r>
            <w:bookmarkStart w:id="165" w:name="xdx_402_eus-gaap--ComprehensiveIncomeNet"/>
            <w:bookmarkEnd w:id="165"/>
          </w:p>
        </w:tc>
      </w:tr>
      <w:tr>
        <w:trPr/>
        <w:tc>
          <w:tcPr>
            <w:tcW w:w="3487" w:type="dxa"/>
            <w:tcBorders/>
            <w:shd w:fill="CCEEFF" w:val="clear"/>
            <w:vAlign w:val="center"/>
          </w:tcPr>
          <w:p>
            <w:pPr>
              <w:pStyle w:val="TableContents"/>
              <w:bidi w:val="0"/>
              <w:spacing w:before="0" w:after="283"/>
              <w:jc w:val="left"/>
              <w:rPr/>
            </w:pPr>
            <w:r>
              <w:rPr/>
              <w:t>Total comprehensive loss</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340" w:type="dxa"/>
            <w:tcBorders/>
            <w:shd w:fill="CCEEFF" w:val="clear"/>
            <w:vAlign w:val="center"/>
          </w:tcPr>
          <w:p>
            <w:pPr>
              <w:pStyle w:val="TableContents"/>
              <w:bidi w:val="0"/>
              <w:spacing w:before="0" w:after="283"/>
              <w:jc w:val="right"/>
              <w:rPr/>
            </w:pPr>
            <w:r>
              <w:rPr/>
              <w:t>(17,909</w:t>
            </w:r>
          </w:p>
        </w:tc>
        <w:tc>
          <w:tcPr>
            <w:tcW w:w="115" w:type="dxa"/>
            <w:tcBorders/>
            <w:shd w:fill="CCEEFF" w:val="clear"/>
            <w:vAlign w:val="center"/>
          </w:tcPr>
          <w:p>
            <w:pPr>
              <w:pStyle w:val="TableContents"/>
              <w:bidi w:val="0"/>
              <w:spacing w:before="0" w:after="283"/>
              <w:jc w:val="left"/>
              <w:rPr/>
            </w:pPr>
            <w:r>
              <w:rPr/>
              <w:t>)</w:t>
            </w:r>
          </w:p>
        </w:tc>
        <w:tc>
          <w:tcPr>
            <w:tcW w:w="73"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340" w:type="dxa"/>
            <w:tcBorders/>
            <w:shd w:fill="CCEEFF" w:val="clear"/>
            <w:vAlign w:val="center"/>
          </w:tcPr>
          <w:p>
            <w:pPr>
              <w:pStyle w:val="TableContents"/>
              <w:bidi w:val="0"/>
              <w:spacing w:before="0" w:after="283"/>
              <w:jc w:val="right"/>
              <w:rPr/>
            </w:pPr>
            <w:r>
              <w:rPr/>
              <w:t>(1,914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 </w:t>
            </w:r>
          </w:p>
        </w:tc>
        <w:tc>
          <w:tcPr>
            <w:tcW w:w="1328" w:type="dxa"/>
            <w:tcBorders/>
            <w:shd w:fill="CCEEFF" w:val="clear"/>
            <w:vAlign w:val="center"/>
          </w:tcPr>
          <w:p>
            <w:pPr>
              <w:pStyle w:val="TableContents"/>
              <w:bidi w:val="0"/>
              <w:spacing w:before="0" w:after="283"/>
              <w:jc w:val="right"/>
              <w:rPr/>
            </w:pPr>
            <w:r>
              <w:rPr/>
              <w:t>(39,538</w:t>
            </w:r>
          </w:p>
        </w:tc>
        <w:tc>
          <w:tcPr>
            <w:tcW w:w="114" w:type="dxa"/>
            <w:tcBorders/>
            <w:shd w:fill="CCEEFF" w:val="clear"/>
            <w:vAlign w:val="center"/>
          </w:tcPr>
          <w:p>
            <w:pPr>
              <w:pStyle w:val="TableContents"/>
              <w:bidi w:val="0"/>
              <w:spacing w:before="0" w:after="283"/>
              <w:jc w:val="left"/>
              <w:rPr/>
            </w:pPr>
            <w:r>
              <w:rPr/>
              <w:t>)</w:t>
            </w:r>
          </w:p>
        </w:tc>
        <w:tc>
          <w:tcPr>
            <w:tcW w:w="72"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 </w:t>
            </w:r>
          </w:p>
        </w:tc>
        <w:tc>
          <w:tcPr>
            <w:tcW w:w="1328" w:type="dxa"/>
            <w:tcBorders/>
            <w:shd w:fill="CCEEFF" w:val="clear"/>
            <w:vAlign w:val="center"/>
          </w:tcPr>
          <w:p>
            <w:pPr>
              <w:pStyle w:val="TableContents"/>
              <w:bidi w:val="0"/>
              <w:spacing w:before="0" w:after="283"/>
              <w:jc w:val="right"/>
              <w:rPr/>
            </w:pPr>
            <w:r>
              <w:rPr/>
              <w:t>(9,240</w:t>
            </w:r>
          </w:p>
        </w:tc>
        <w:tc>
          <w:tcPr>
            <w:tcW w:w="117" w:type="dxa"/>
            <w:tcBorders/>
            <w:shd w:fill="CCEEFF" w:val="clear"/>
            <w:vAlign w:val="center"/>
          </w:tcPr>
          <w:p>
            <w:pPr>
              <w:pStyle w:val="TableContents"/>
              <w:bidi w:val="0"/>
              <w:spacing w:before="0" w:after="283"/>
              <w:jc w:val="left"/>
              <w:rPr/>
            </w:pPr>
            <w:r>
              <w:rPr/>
              <w:t>)</w:t>
            </w:r>
            <w:bookmarkStart w:id="166" w:name="xdx_406_eus-gaap--ComprehensiveIncomeNet"/>
            <w:bookmarkEnd w:id="166"/>
          </w:p>
        </w:tc>
      </w:tr>
      <w:tr>
        <w:trPr/>
        <w:tc>
          <w:tcPr>
            <w:tcW w:w="3487" w:type="dxa"/>
            <w:tcBorders/>
            <w:shd w:fill="FFFFFF" w:val="clear"/>
            <w:vAlign w:val="center"/>
          </w:tcPr>
          <w:p>
            <w:pPr>
              <w:pStyle w:val="TableContents"/>
              <w:bidi w:val="0"/>
              <w:spacing w:before="0" w:after="283"/>
              <w:jc w:val="left"/>
              <w:rPr/>
            </w:pPr>
            <w:r>
              <w:rPr/>
              <w:t>Comprehensive (loss) income attributable to non-controlling interest</w:t>
            </w:r>
          </w:p>
        </w:tc>
        <w:tc>
          <w:tcPr>
            <w:tcW w:w="60" w:type="dxa"/>
            <w:tcBorders/>
            <w:shd w:fill="FFFFFF" w:val="clear"/>
            <w:vAlign w:val="center"/>
          </w:tcPr>
          <w:p>
            <w:pPr>
              <w:pStyle w:val="TableContents"/>
              <w:bidi w:val="0"/>
              <w:spacing w:before="0" w:after="283"/>
              <w:jc w:val="left"/>
              <w:rPr/>
            </w:pPr>
            <w:r>
              <w:rPr/>
              <w:t> </w:t>
            </w:r>
          </w:p>
        </w:tc>
        <w:tc>
          <w:tcPr>
            <w:tcW w:w="17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40"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w:t>
            </w:r>
          </w:p>
        </w:tc>
        <w:tc>
          <w:tcPr>
            <w:tcW w:w="115"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17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40"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28" w:type="dxa"/>
            <w:tcBorders>
              <w:bottom w:val="single" w:sz="8" w:space="0" w:color="000000"/>
            </w:tcBorders>
            <w:shd w:fill="FFFFFF" w:val="clear"/>
            <w:tcMar>
              <w:bottom w:w="28" w:type="dxa"/>
            </w:tcMar>
            <w:vAlign w:val="center"/>
          </w:tcPr>
          <w:p>
            <w:pPr>
              <w:pStyle w:val="TableContents"/>
              <w:bidi w:val="0"/>
              <w:spacing w:before="0" w:after="283"/>
              <w:jc w:val="right"/>
              <w:rPr/>
            </w:pPr>
            <w:r>
              <w:rPr/>
              <w:t>(16</w:t>
            </w:r>
          </w:p>
        </w:tc>
        <w:tc>
          <w:tcPr>
            <w:tcW w:w="114" w:type="dxa"/>
            <w:tcBorders/>
            <w:shd w:fill="FFFFFF" w:val="clear"/>
            <w:vAlign w:val="center"/>
          </w:tcPr>
          <w:p>
            <w:pPr>
              <w:pStyle w:val="TableContents"/>
              <w:bidi w:val="0"/>
              <w:spacing w:before="0" w:after="283"/>
              <w:jc w:val="left"/>
              <w:rPr/>
            </w:pPr>
            <w:r>
              <w:rPr/>
              <w:t>)</w:t>
            </w:r>
          </w:p>
        </w:tc>
        <w:tc>
          <w:tcPr>
            <w:tcW w:w="72" w:type="dxa"/>
            <w:tcBorders/>
            <w:shd w:fill="FFFFFF" w:val="clear"/>
            <w:vAlign w:val="center"/>
          </w:tcPr>
          <w:p>
            <w:pPr>
              <w:pStyle w:val="TableContents"/>
              <w:bidi w:val="0"/>
              <w:spacing w:before="0" w:after="283"/>
              <w:jc w:val="left"/>
              <w:rPr/>
            </w:pPr>
            <w:r>
              <w:rPr/>
              <w:t> </w:t>
            </w:r>
          </w:p>
        </w:tc>
        <w:tc>
          <w:tcPr>
            <w:tcW w:w="16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28" w:type="dxa"/>
            <w:tcBorders>
              <w:bottom w:val="single" w:sz="8" w:space="0" w:color="000000"/>
            </w:tcBorders>
            <w:shd w:fill="FFFFFF" w:val="clear"/>
            <w:tcMar>
              <w:bottom w:w="28" w:type="dxa"/>
            </w:tcMar>
            <w:vAlign w:val="center"/>
          </w:tcPr>
          <w:p>
            <w:pPr>
              <w:pStyle w:val="TableContents"/>
              <w:bidi w:val="0"/>
              <w:spacing w:before="0" w:after="283"/>
              <w:jc w:val="right"/>
              <w:rPr/>
            </w:pPr>
            <w:r>
              <w:rPr/>
              <w:t>9</w:t>
            </w:r>
          </w:p>
        </w:tc>
        <w:tc>
          <w:tcPr>
            <w:tcW w:w="117" w:type="dxa"/>
            <w:tcBorders/>
            <w:shd w:fill="FFFFFF" w:val="clear"/>
            <w:vAlign w:val="center"/>
          </w:tcPr>
          <w:p>
            <w:pPr>
              <w:pStyle w:val="TableContents"/>
              <w:bidi w:val="0"/>
              <w:spacing w:before="0" w:after="283"/>
              <w:jc w:val="left"/>
              <w:rPr/>
            </w:pPr>
            <w:r>
              <w:rPr/>
              <w:t> </w:t>
            </w:r>
            <w:bookmarkStart w:id="167" w:name="xdx_40F_eus-gaap--ComprehensiveIncomeNet"/>
            <w:bookmarkEnd w:id="167"/>
          </w:p>
        </w:tc>
      </w:tr>
      <w:tr>
        <w:trPr/>
        <w:tc>
          <w:tcPr>
            <w:tcW w:w="3487" w:type="dxa"/>
            <w:tcBorders/>
            <w:shd w:fill="CCEEFF" w:val="clear"/>
            <w:vAlign w:val="center"/>
          </w:tcPr>
          <w:p>
            <w:pPr>
              <w:pStyle w:val="TableContents"/>
              <w:bidi w:val="0"/>
              <w:spacing w:before="0" w:after="283"/>
              <w:jc w:val="left"/>
              <w:rPr>
                <w:b/>
              </w:rPr>
            </w:pPr>
            <w:r>
              <w:rPr>
                <w:b/>
              </w:rPr>
              <w:t>Comprehensive (loss) income attributable to Streamex Corp.</w:t>
            </w:r>
          </w:p>
        </w:tc>
        <w:tc>
          <w:tcPr>
            <w:tcW w:w="60" w:type="dxa"/>
            <w:tcBorders/>
            <w:shd w:fill="CCEEFF" w:val="clear"/>
            <w:vAlign w:val="center"/>
          </w:tcPr>
          <w:p>
            <w:pPr>
              <w:pStyle w:val="TableContents"/>
              <w:bidi w:val="0"/>
              <w:spacing w:before="0" w:after="283"/>
              <w:jc w:val="left"/>
              <w:rPr/>
            </w:pPr>
            <w:r>
              <w:rPr/>
              <w:t> </w:t>
            </w:r>
          </w:p>
        </w:tc>
        <w:tc>
          <w:tcPr>
            <w:tcW w:w="170"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340"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(17,909</w:t>
            </w:r>
          </w:p>
        </w:tc>
        <w:tc>
          <w:tcPr>
            <w:tcW w:w="115" w:type="dxa"/>
            <w:tcBorders/>
            <w:shd w:fill="CCEEFF" w:val="clear"/>
            <w:vAlign w:val="center"/>
          </w:tcPr>
          <w:p>
            <w:pPr>
              <w:pStyle w:val="TableContents"/>
              <w:bidi w:val="0"/>
              <w:spacing w:before="0" w:after="283"/>
              <w:jc w:val="left"/>
              <w:rPr>
                <w:b/>
              </w:rPr>
            </w:pPr>
            <w:r>
              <w:rPr>
                <w:b/>
              </w:rPr>
              <w:t>)</w:t>
            </w:r>
          </w:p>
        </w:tc>
        <w:tc>
          <w:tcPr>
            <w:tcW w:w="73" w:type="dxa"/>
            <w:tcBorders/>
            <w:shd w:fill="CCEEFF" w:val="clear"/>
            <w:vAlign w:val="center"/>
          </w:tcPr>
          <w:p>
            <w:pPr>
              <w:pStyle w:val="TableContents"/>
              <w:bidi w:val="0"/>
              <w:spacing w:before="0" w:after="283"/>
              <w:jc w:val="left"/>
              <w:rPr/>
            </w:pPr>
            <w:r>
              <w:rPr/>
              <w:t> </w:t>
            </w:r>
          </w:p>
        </w:tc>
        <w:tc>
          <w:tcPr>
            <w:tcW w:w="170"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340"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(1,914</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68"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328"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(39,554</w:t>
            </w:r>
          </w:p>
        </w:tc>
        <w:tc>
          <w:tcPr>
            <w:tcW w:w="114" w:type="dxa"/>
            <w:tcBorders/>
            <w:shd w:fill="CCEEFF" w:val="clear"/>
            <w:vAlign w:val="center"/>
          </w:tcPr>
          <w:p>
            <w:pPr>
              <w:pStyle w:val="TableContents"/>
              <w:bidi w:val="0"/>
              <w:spacing w:before="0" w:after="283"/>
              <w:jc w:val="left"/>
              <w:rPr>
                <w:b/>
              </w:rPr>
            </w:pPr>
            <w:r>
              <w:rPr>
                <w:b/>
              </w:rPr>
              <w:t>)</w:t>
            </w:r>
          </w:p>
        </w:tc>
        <w:tc>
          <w:tcPr>
            <w:tcW w:w="72" w:type="dxa"/>
            <w:tcBorders/>
            <w:shd w:fill="CCEEFF" w:val="clear"/>
            <w:vAlign w:val="center"/>
          </w:tcPr>
          <w:p>
            <w:pPr>
              <w:pStyle w:val="TableContents"/>
              <w:bidi w:val="0"/>
              <w:spacing w:before="0" w:after="283"/>
              <w:jc w:val="left"/>
              <w:rPr/>
            </w:pPr>
            <w:r>
              <w:rPr/>
              <w:t> </w:t>
            </w:r>
          </w:p>
        </w:tc>
        <w:tc>
          <w:tcPr>
            <w:tcW w:w="168"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328"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(9,231</w:t>
            </w:r>
          </w:p>
        </w:tc>
        <w:tc>
          <w:tcPr>
            <w:tcW w:w="117" w:type="dxa"/>
            <w:tcBorders/>
            <w:shd w:fill="CCEEFF" w:val="clear"/>
            <w:vAlign w:val="center"/>
          </w:tcPr>
          <w:p>
            <w:pPr>
              <w:pStyle w:val="TableContents"/>
              <w:bidi w:val="0"/>
              <w:spacing w:before="0" w:after="283"/>
              <w:jc w:val="left"/>
              <w:rPr>
                <w:b/>
              </w:rPr>
            </w:pPr>
            <w:r>
              <w:rPr>
                <w:b/>
              </w:rPr>
              <w:t>)</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unaudited Condensed Consolidated Financial Statements</w:t>
      </w:r>
    </w:p>
    <w:p>
      <w:pPr>
        <w:pStyle w:val="TextBody"/>
        <w:bidi w:val="0"/>
        <w:spacing w:before="0" w:after="0"/>
        <w:ind w:left="0" w:right="0" w:hanging="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4</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68" w:name="vv_005"/>
      <w:bookmarkEnd w:id="168"/>
      <w:r>
        <w:rPr>
          <w:rFonts w:ascii="Times New Roman;Times;Serif" w:hAnsi="Times New Roman;Times;Serif"/>
          <w:b/>
          <w:i w:val="false"/>
          <w:caps w:val="false"/>
          <w:smallCaps w:val="false"/>
          <w:sz w:val="20"/>
        </w:rPr>
        <w:t>STREAMEX CORP.</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CONDENSED CONSOLIDATED STATEMENT OF CHANGES IN STOCKHOLDERS’ (DEFICIT) EQUITY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THREE AND NINE MONTHS ENDED SEPTEMBER 30, 2025 AND 2024</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Par Value and Share Amounts)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bidi w:val="0"/>
        <w:spacing w:before="0" w:after="0"/>
        <w:ind w:left="0" w:right="0" w:hanging="0"/>
        <w:jc w:val="center"/>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169" w:name="xdx_30B_114_pn3n3_z6aE2tKP6lS4"/>
      <w:bookmarkStart w:id="170" w:name="xdx_30B_114_pn3n3_z6aE2tKP6lS4"/>
      <w:bookmarkEnd w:id="170"/>
    </w:p>
    <w:tbl>
      <w:tblPr>
        <w:tblW w:w="11790" w:type="dxa"/>
        <w:jc w:val="left"/>
        <w:tblInd w:w="0" w:type="dxa"/>
        <w:tblLayout w:type="fixed"/>
        <w:tblCellMar>
          <w:top w:w="0" w:type="dxa"/>
          <w:left w:w="0" w:type="dxa"/>
          <w:bottom w:w="0" w:type="dxa"/>
          <w:right w:w="0" w:type="dxa"/>
        </w:tblCellMar>
      </w:tblPr>
      <w:tblGrid>
        <w:gridCol w:w="1460"/>
        <w:gridCol w:w="60"/>
        <w:gridCol w:w="60"/>
        <w:gridCol w:w="1100"/>
        <w:gridCol w:w="95"/>
        <w:gridCol w:w="60"/>
        <w:gridCol w:w="140"/>
        <w:gridCol w:w="920"/>
        <w:gridCol w:w="60"/>
        <w:gridCol w:w="60"/>
        <w:gridCol w:w="235"/>
        <w:gridCol w:w="1345"/>
        <w:gridCol w:w="95"/>
        <w:gridCol w:w="60"/>
        <w:gridCol w:w="188"/>
        <w:gridCol w:w="1182"/>
        <w:gridCol w:w="95"/>
        <w:gridCol w:w="60"/>
        <w:gridCol w:w="290"/>
        <w:gridCol w:w="1320"/>
        <w:gridCol w:w="95"/>
        <w:gridCol w:w="60"/>
        <w:gridCol w:w="568"/>
        <w:gridCol w:w="1057"/>
        <w:gridCol w:w="60"/>
        <w:gridCol w:w="60"/>
        <w:gridCol w:w="140"/>
        <w:gridCol w:w="755"/>
        <w:gridCol w:w="110"/>
      </w:tblGrid>
      <w:tr>
        <w:trPr/>
        <w:tc>
          <w:tcPr>
            <w:tcW w:w="14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Common stock Shares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71" w:name="xdx_4B1_us-gaap--StatementEquityComponen"/>
            <w:bookmarkEnd w:id="171"/>
          </w:p>
        </w:tc>
        <w:tc>
          <w:tcPr>
            <w:tcW w:w="10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72" w:name="xdx_4B0_us-gaap--StatementEquityComponen"/>
            <w:bookmarkEnd w:id="172"/>
          </w:p>
        </w:tc>
        <w:tc>
          <w:tcPr>
            <w:tcW w:w="158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Additional Paid-in-Capital</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73" w:name="xdx_4B2_us-gaap--StatementEquityComponen"/>
            <w:bookmarkEnd w:id="173"/>
          </w:p>
        </w:tc>
        <w:tc>
          <w:tcPr>
            <w:tcW w:w="137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Accumulated Deficit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74" w:name="xdx_4BE_us-gaap--StatementEquityComponen"/>
            <w:bookmarkEnd w:id="174"/>
          </w:p>
        </w:tc>
        <w:tc>
          <w:tcPr>
            <w:tcW w:w="161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Accumulated</w:t>
              <w:br/>
              <w:t>Other</w:t>
              <w:br/>
              <w:t>Comprehensive</w:t>
              <w:br/>
              <w:t>Income</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75" w:name="xdx_4BB_us-gaap--StatementEquityComponen"/>
            <w:bookmarkEnd w:id="175"/>
          </w:p>
        </w:tc>
        <w:tc>
          <w:tcPr>
            <w:tcW w:w="162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Non-controlling Interest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76" w:name="xdx_4B3_zdLiM0sWoEA7"/>
            <w:bookmarkEnd w:id="176"/>
          </w:p>
        </w:tc>
        <w:tc>
          <w:tcPr>
            <w:tcW w:w="8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Total</w:t>
            </w:r>
          </w:p>
        </w:tc>
        <w:tc>
          <w:tcPr>
            <w:tcW w:w="110" w:type="dxa"/>
            <w:tcBorders/>
            <w:vAlign w:val="center"/>
          </w:tcPr>
          <w:p>
            <w:pPr>
              <w:pStyle w:val="TableContents"/>
              <w:bidi w:val="0"/>
              <w:spacing w:before="0" w:after="283"/>
              <w:jc w:val="left"/>
              <w:rPr/>
            </w:pPr>
            <w:r>
              <w:rPr/>
              <w:t> </w:t>
            </w:r>
          </w:p>
        </w:tc>
      </w:tr>
      <w:tr>
        <w:trPr/>
        <w:tc>
          <w:tcPr>
            <w:tcW w:w="14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6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80"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10"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25"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5" w:type="dxa"/>
            <w:gridSpan w:val="2"/>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ind w:left="0" w:right="0" w:hanging="0"/>
              <w:jc w:val="left"/>
              <w:rPr/>
            </w:pPr>
            <w:r>
              <w:rPr/>
              <w:t> </w:t>
            </w:r>
            <w:bookmarkStart w:id="177" w:name="xdx_43F_c20250101__20250331_eus-gaap--St"/>
            <w:bookmarkEnd w:id="177"/>
          </w:p>
        </w:tc>
      </w:tr>
      <w:tr>
        <w:trPr/>
        <w:tc>
          <w:tcPr>
            <w:tcW w:w="1460" w:type="dxa"/>
            <w:tcBorders/>
            <w:shd w:fill="CCEEFF" w:val="clear"/>
            <w:vAlign w:val="center"/>
          </w:tcPr>
          <w:p>
            <w:pPr>
              <w:pStyle w:val="TableContents"/>
              <w:bidi w:val="0"/>
              <w:spacing w:before="0" w:after="283"/>
              <w:jc w:val="left"/>
              <w:rPr>
                <w:b/>
              </w:rPr>
            </w:pPr>
            <w:r>
              <w:rPr>
                <w:b/>
              </w:rPr>
              <w:t>Balance, December 31, 2024</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178" w:name="xdx_981_eus-gaap--SharesOutstanding_iS_p"/>
            <w:bookmarkEnd w:id="178"/>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17,239,096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b/>
              </w:rPr>
            </w:pPr>
            <w:r>
              <w:rPr>
                <w:b/>
              </w:rPr>
              <w:t>$</w:t>
            </w:r>
          </w:p>
        </w:tc>
        <w:tc>
          <w:tcPr>
            <w:tcW w:w="920"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17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5" w:type="dxa"/>
            <w:tcBorders>
              <w:bottom w:val="single" w:sz="8" w:space="0" w:color="000000"/>
            </w:tcBorders>
            <w:shd w:fill="CCEEFF" w:val="clear"/>
            <w:tcMar>
              <w:bottom w:w="28" w:type="dxa"/>
            </w:tcMar>
            <w:vAlign w:val="center"/>
          </w:tcPr>
          <w:p>
            <w:pPr>
              <w:pStyle w:val="TableContents"/>
              <w:bidi w:val="0"/>
              <w:spacing w:before="0" w:after="283"/>
              <w:jc w:val="left"/>
              <w:rPr>
                <w:b/>
              </w:rPr>
            </w:pPr>
            <w:r>
              <w:rPr>
                <w:b/>
              </w:rPr>
              <w:t>$</w:t>
            </w:r>
          </w:p>
        </w:tc>
        <w:tc>
          <w:tcPr>
            <w:tcW w:w="1345"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253,784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bottom w:val="single" w:sz="8" w:space="0" w:color="000000"/>
            </w:tcBorders>
            <w:shd w:fill="CCEEFF" w:val="clear"/>
            <w:tcMar>
              <w:bottom w:w="28" w:type="dxa"/>
            </w:tcMar>
            <w:vAlign w:val="center"/>
          </w:tcPr>
          <w:p>
            <w:pPr>
              <w:pStyle w:val="TableContents"/>
              <w:bidi w:val="0"/>
              <w:spacing w:before="0" w:after="283"/>
              <w:jc w:val="left"/>
              <w:rPr>
                <w:b/>
              </w:rPr>
            </w:pPr>
            <w:r>
              <w:rPr>
                <w:b/>
              </w:rPr>
              <w:t>$</w:t>
            </w:r>
          </w:p>
        </w:tc>
        <w:tc>
          <w:tcPr>
            <w:tcW w:w="1182"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(255,345</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290" w:type="dxa"/>
            <w:tcBorders>
              <w:bottom w:val="single" w:sz="8" w:space="0" w:color="000000"/>
            </w:tcBorders>
            <w:shd w:fill="CCEEFF" w:val="clear"/>
            <w:tcMar>
              <w:bottom w:w="28" w:type="dxa"/>
            </w:tcMar>
            <w:vAlign w:val="center"/>
          </w:tcPr>
          <w:p>
            <w:pPr>
              <w:pStyle w:val="TableContents"/>
              <w:bidi w:val="0"/>
              <w:spacing w:before="0" w:after="283"/>
              <w:jc w:val="left"/>
              <w:rPr>
                <w:b/>
              </w:rPr>
            </w:pPr>
            <w:r>
              <w:rPr>
                <w:b/>
              </w:rPr>
              <w:t>$</w:t>
            </w:r>
          </w:p>
        </w:tc>
        <w:tc>
          <w:tcPr>
            <w:tcW w:w="1320"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8" w:type="dxa"/>
            <w:tcBorders>
              <w:bottom w:val="single" w:sz="8" w:space="0" w:color="000000"/>
            </w:tcBorders>
            <w:shd w:fill="CCEEFF" w:val="clear"/>
            <w:tcMar>
              <w:bottom w:w="28" w:type="dxa"/>
            </w:tcMar>
            <w:vAlign w:val="center"/>
          </w:tcPr>
          <w:p>
            <w:pPr>
              <w:pStyle w:val="TableContents"/>
              <w:bidi w:val="0"/>
              <w:spacing w:before="0" w:after="283"/>
              <w:jc w:val="left"/>
              <w:rPr>
                <w:b/>
              </w:rPr>
            </w:pPr>
            <w:r>
              <w:rPr>
                <w:b/>
              </w:rPr>
              <w:t>$</w:t>
            </w:r>
          </w:p>
        </w:tc>
        <w:tc>
          <w:tcPr>
            <w:tcW w:w="1057"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17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b/>
              </w:rPr>
            </w:pPr>
            <w:r>
              <w:rPr>
                <w:b/>
              </w:rPr>
              <w:t>$</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(1,527</w:t>
            </w:r>
          </w:p>
        </w:tc>
        <w:tc>
          <w:tcPr>
            <w:tcW w:w="110" w:type="dxa"/>
            <w:tcBorders/>
            <w:shd w:fill="CCEEFF" w:val="clear"/>
            <w:vAlign w:val="center"/>
          </w:tcPr>
          <w:p>
            <w:pPr>
              <w:pStyle w:val="TableContents"/>
              <w:bidi w:val="0"/>
              <w:spacing w:before="0" w:after="283"/>
              <w:ind w:left="0" w:right="0" w:hanging="0"/>
              <w:jc w:val="left"/>
              <w:rPr>
                <w:b/>
              </w:rPr>
            </w:pPr>
            <w:r>
              <w:rPr>
                <w:b/>
              </w:rPr>
              <w:t>)</w:t>
            </w:r>
            <w:bookmarkStart w:id="179" w:name="xdx_409_eus-gaap--StockIssuedDuringPerio"/>
            <w:bookmarkEnd w:id="179"/>
          </w:p>
        </w:tc>
      </w:tr>
      <w:tr>
        <w:trPr/>
        <w:tc>
          <w:tcPr>
            <w:tcW w:w="1460" w:type="dxa"/>
            <w:tcBorders/>
            <w:shd w:fill="FFFFFF" w:val="clear"/>
            <w:vAlign w:val="center"/>
          </w:tcPr>
          <w:p>
            <w:pPr>
              <w:pStyle w:val="TableContents"/>
              <w:bidi w:val="0"/>
              <w:spacing w:before="0" w:after="283"/>
              <w:jc w:val="left"/>
              <w:rPr/>
            </w:pPr>
            <w:r>
              <w:rPr/>
              <w:t>Common stock issued for services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180" w:name="xdx_98E_eus-gaap--StockIssuedDuringPerio"/>
            <w:bookmarkEnd w:id="180"/>
          </w:p>
        </w:tc>
        <w:tc>
          <w:tcPr>
            <w:tcW w:w="1100" w:type="dxa"/>
            <w:tcBorders/>
            <w:shd w:fill="FFFFFF" w:val="clear"/>
            <w:vAlign w:val="center"/>
          </w:tcPr>
          <w:p>
            <w:pPr>
              <w:pStyle w:val="TableContents"/>
              <w:bidi w:val="0"/>
              <w:spacing w:before="0" w:after="283"/>
              <w:jc w:val="right"/>
              <w:rPr/>
            </w:pPr>
            <w:r>
              <w:rPr/>
              <w:t>1,438,542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pPr>
            <w:r>
              <w:rPr/>
              <w:t>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5" w:type="dxa"/>
            <w:tcBorders/>
            <w:shd w:fill="FFFFFF" w:val="clear"/>
            <w:vAlign w:val="center"/>
          </w:tcPr>
          <w:p>
            <w:pPr>
              <w:pStyle w:val="TableContents"/>
              <w:bidi w:val="0"/>
              <w:spacing w:before="0" w:after="283"/>
              <w:jc w:val="left"/>
              <w:rPr/>
            </w:pPr>
            <w:r>
              <w:rPr/>
              <w:t> </w:t>
            </w:r>
          </w:p>
        </w:tc>
        <w:tc>
          <w:tcPr>
            <w:tcW w:w="1345" w:type="dxa"/>
            <w:tcBorders/>
            <w:shd w:fill="FFFFFF" w:val="clear"/>
            <w:vAlign w:val="center"/>
          </w:tcPr>
          <w:p>
            <w:pPr>
              <w:pStyle w:val="TableContents"/>
              <w:bidi w:val="0"/>
              <w:spacing w:before="0" w:after="283"/>
              <w:jc w:val="right"/>
              <w:rPr/>
            </w:pPr>
            <w:r>
              <w:rPr/>
              <w:t>1,960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18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0" w:type="dxa"/>
            <w:tcBorders/>
            <w:shd w:fill="FFFFFF" w:val="clear"/>
            <w:vAlign w:val="center"/>
          </w:tcPr>
          <w:p>
            <w:pPr>
              <w:pStyle w:val="TableContents"/>
              <w:bidi w:val="0"/>
              <w:spacing w:before="0" w:after="283"/>
              <w:jc w:val="left"/>
              <w:rPr/>
            </w:pPr>
            <w:r>
              <w:rPr/>
              <w:t> </w:t>
            </w:r>
          </w:p>
        </w:tc>
        <w:tc>
          <w:tcPr>
            <w:tcW w:w="132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8" w:type="dxa"/>
            <w:tcBorders/>
            <w:shd w:fill="FFFFFF" w:val="clear"/>
            <w:vAlign w:val="center"/>
          </w:tcPr>
          <w:p>
            <w:pPr>
              <w:pStyle w:val="TableContents"/>
              <w:bidi w:val="0"/>
              <w:spacing w:before="0" w:after="283"/>
              <w:jc w:val="left"/>
              <w:rPr/>
            </w:pPr>
            <w:r>
              <w:rPr/>
              <w:t> </w:t>
            </w:r>
          </w:p>
        </w:tc>
        <w:tc>
          <w:tcPr>
            <w:tcW w:w="1057"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1,962</w:t>
            </w:r>
          </w:p>
        </w:tc>
        <w:tc>
          <w:tcPr>
            <w:tcW w:w="110" w:type="dxa"/>
            <w:tcBorders/>
            <w:shd w:fill="FFFFFF" w:val="clear"/>
            <w:vAlign w:val="center"/>
          </w:tcPr>
          <w:p>
            <w:pPr>
              <w:pStyle w:val="TableContents"/>
              <w:bidi w:val="0"/>
              <w:spacing w:before="0" w:after="283"/>
              <w:ind w:left="0" w:right="0" w:hanging="0"/>
              <w:jc w:val="left"/>
              <w:rPr/>
            </w:pPr>
            <w:r>
              <w:rPr/>
              <w:t> </w:t>
            </w:r>
            <w:bookmarkStart w:id="181" w:name="xdx_407_eus-gaap--StockIssuedDuringPerio"/>
            <w:bookmarkEnd w:id="181"/>
          </w:p>
        </w:tc>
      </w:tr>
      <w:tr>
        <w:trPr/>
        <w:tc>
          <w:tcPr>
            <w:tcW w:w="1460" w:type="dxa"/>
            <w:tcBorders/>
            <w:shd w:fill="CCEEFF" w:val="clear"/>
            <w:vAlign w:val="center"/>
          </w:tcPr>
          <w:p>
            <w:pPr>
              <w:pStyle w:val="TableContents"/>
              <w:bidi w:val="0"/>
              <w:spacing w:before="0" w:after="283"/>
              <w:jc w:val="left"/>
              <w:rPr/>
            </w:pPr>
            <w:r>
              <w:rPr/>
              <w:t>Exercise of warrants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82" w:name="xdx_981_eus-gaap--StockIssuedDuringPerio"/>
            <w:bookmarkEnd w:id="182"/>
          </w:p>
        </w:tc>
        <w:tc>
          <w:tcPr>
            <w:tcW w:w="1100" w:type="dxa"/>
            <w:tcBorders/>
            <w:shd w:fill="CCEEFF" w:val="clear"/>
            <w:vAlign w:val="center"/>
          </w:tcPr>
          <w:p>
            <w:pPr>
              <w:pStyle w:val="TableContents"/>
              <w:bidi w:val="0"/>
              <w:spacing w:before="0" w:after="283"/>
              <w:jc w:val="right"/>
              <w:rPr/>
            </w:pPr>
            <w:r>
              <w:rPr/>
              <w:t>48,996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20" w:type="dxa"/>
            <w:tcBorders/>
            <w:shd w:fill="CCEEFF" w:val="clear"/>
            <w:vAlign w:val="center"/>
          </w:tcPr>
          <w:p>
            <w:pPr>
              <w:pStyle w:val="TableContents"/>
              <w:bidi w:val="0"/>
              <w:spacing w:before="0" w:after="283"/>
              <w:jc w:val="right"/>
              <w:rPr/>
            </w:pPr>
            <w:r>
              <w:rPr/>
              <w:t>              </w:t>
            </w:r>
            <w:r>
              <w:rPr>
                <w:rFonts w:ascii="Times New Roman;Times;Serif" w:hAnsi="Times New Roman;Times;Serif"/>
                <w:sz w:val="20"/>
              </w:rPr>
              <w:t>-</w:t>
            </w:r>
            <w:bookmarkStart w:id="183" w:name="xdx_F2B_zE8zdrYqbWik"/>
            <w:bookmarkEnd w:id="183"/>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5" w:type="dxa"/>
            <w:tcBorders/>
            <w:shd w:fill="CCEEFF" w:val="clear"/>
            <w:vAlign w:val="center"/>
          </w:tcPr>
          <w:p>
            <w:pPr>
              <w:pStyle w:val="TableContents"/>
              <w:bidi w:val="0"/>
              <w:spacing w:before="0" w:after="283"/>
              <w:jc w:val="left"/>
              <w:rPr/>
            </w:pPr>
            <w:r>
              <w:rPr/>
              <w:t> </w:t>
            </w:r>
          </w:p>
        </w:tc>
        <w:tc>
          <w:tcPr>
            <w:tcW w:w="134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left"/>
              <w:rPr/>
            </w:pPr>
            <w:r>
              <w:rPr/>
              <w:t> </w:t>
            </w:r>
          </w:p>
        </w:tc>
        <w:tc>
          <w:tcPr>
            <w:tcW w:w="132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8" w:type="dxa"/>
            <w:tcBorders/>
            <w:shd w:fill="CCEEFF" w:val="clear"/>
            <w:vAlign w:val="center"/>
          </w:tcPr>
          <w:p>
            <w:pPr>
              <w:pStyle w:val="TableContents"/>
              <w:bidi w:val="0"/>
              <w:spacing w:before="0" w:after="283"/>
              <w:jc w:val="left"/>
              <w:rPr/>
            </w:pPr>
            <w:r>
              <w:rPr/>
              <w:t> </w:t>
            </w:r>
          </w:p>
        </w:tc>
        <w:tc>
          <w:tcPr>
            <w:tcW w:w="1057"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ind w:left="0" w:right="0" w:hanging="0"/>
              <w:jc w:val="left"/>
              <w:rPr/>
            </w:pPr>
            <w:r>
              <w:rPr/>
              <w:t> </w:t>
            </w:r>
            <w:bookmarkStart w:id="184" w:name="xdx_400_eus-gaap--StockIssuedDuringPerio"/>
            <w:bookmarkEnd w:id="184"/>
          </w:p>
        </w:tc>
      </w:tr>
      <w:tr>
        <w:trPr/>
        <w:tc>
          <w:tcPr>
            <w:tcW w:w="1460" w:type="dxa"/>
            <w:tcBorders/>
            <w:shd w:fill="FFFFFF" w:val="clear"/>
            <w:vAlign w:val="center"/>
          </w:tcPr>
          <w:p>
            <w:pPr>
              <w:pStyle w:val="TableContents"/>
              <w:bidi w:val="0"/>
              <w:spacing w:before="0" w:after="283"/>
              <w:jc w:val="left"/>
              <w:rPr/>
            </w:pPr>
            <w:r>
              <w:rPr/>
              <w:t>Stock based compensation</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185" w:name="xdx_989_eus-gaap--StockIssuedDuringPerio"/>
            <w:bookmarkEnd w:id="185"/>
          </w:p>
        </w:tc>
        <w:tc>
          <w:tcPr>
            <w:tcW w:w="1100" w:type="dxa"/>
            <w:tcBorders/>
            <w:shd w:fill="FFFFFF" w:val="clear"/>
            <w:vAlign w:val="center"/>
          </w:tcPr>
          <w:p>
            <w:pPr>
              <w:pStyle w:val="TableContents"/>
              <w:bidi w:val="0"/>
              <w:spacing w:before="0" w:after="283"/>
              <w:jc w:val="right"/>
              <w:rPr/>
            </w:pPr>
            <w:r>
              <w:rPr/>
              <w:t>225,001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pPr>
            <w:r>
              <w:rPr>
                <w:rFonts w:ascii="Times New Roman;Times;Serif" w:hAnsi="Times New Roman;Times;Serif"/>
                <w:sz w:val="20"/>
              </w:rPr>
              <w:t>-</w:t>
            </w:r>
            <w:bookmarkStart w:id="186" w:name="xdx_F28_zU1YJ7Qy6232"/>
            <w:bookmarkEnd w:id="186"/>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5" w:type="dxa"/>
            <w:tcBorders/>
            <w:shd w:fill="FFFFFF" w:val="clear"/>
            <w:vAlign w:val="center"/>
          </w:tcPr>
          <w:p>
            <w:pPr>
              <w:pStyle w:val="TableContents"/>
              <w:bidi w:val="0"/>
              <w:spacing w:before="0" w:after="283"/>
              <w:jc w:val="left"/>
              <w:rPr/>
            </w:pPr>
            <w:r>
              <w:rPr/>
              <w:t> </w:t>
            </w:r>
          </w:p>
        </w:tc>
        <w:tc>
          <w:tcPr>
            <w:tcW w:w="1345" w:type="dxa"/>
            <w:tcBorders/>
            <w:shd w:fill="FFFFFF" w:val="clear"/>
            <w:vAlign w:val="center"/>
          </w:tcPr>
          <w:p>
            <w:pPr>
              <w:pStyle w:val="TableContents"/>
              <w:bidi w:val="0"/>
              <w:spacing w:before="0" w:after="283"/>
              <w:jc w:val="right"/>
              <w:rPr/>
            </w:pPr>
            <w:r>
              <w:rPr/>
              <w:t>112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18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0" w:type="dxa"/>
            <w:tcBorders/>
            <w:shd w:fill="FFFFFF" w:val="clear"/>
            <w:vAlign w:val="center"/>
          </w:tcPr>
          <w:p>
            <w:pPr>
              <w:pStyle w:val="TableContents"/>
              <w:bidi w:val="0"/>
              <w:spacing w:before="0" w:after="283"/>
              <w:jc w:val="left"/>
              <w:rPr/>
            </w:pPr>
            <w:r>
              <w:rPr/>
              <w:t> </w:t>
            </w:r>
          </w:p>
        </w:tc>
        <w:tc>
          <w:tcPr>
            <w:tcW w:w="132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8" w:type="dxa"/>
            <w:tcBorders/>
            <w:shd w:fill="FFFFFF" w:val="clear"/>
            <w:vAlign w:val="center"/>
          </w:tcPr>
          <w:p>
            <w:pPr>
              <w:pStyle w:val="TableContents"/>
              <w:bidi w:val="0"/>
              <w:spacing w:before="0" w:after="283"/>
              <w:jc w:val="left"/>
              <w:rPr/>
            </w:pPr>
            <w:r>
              <w:rPr/>
              <w:t> </w:t>
            </w:r>
          </w:p>
        </w:tc>
        <w:tc>
          <w:tcPr>
            <w:tcW w:w="1057"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112</w:t>
            </w:r>
          </w:p>
        </w:tc>
        <w:tc>
          <w:tcPr>
            <w:tcW w:w="110" w:type="dxa"/>
            <w:tcBorders/>
            <w:shd w:fill="FFFFFF" w:val="clear"/>
            <w:vAlign w:val="center"/>
          </w:tcPr>
          <w:p>
            <w:pPr>
              <w:pStyle w:val="TableContents"/>
              <w:bidi w:val="0"/>
              <w:spacing w:before="0" w:after="283"/>
              <w:ind w:left="0" w:right="0" w:hanging="0"/>
              <w:jc w:val="left"/>
              <w:rPr/>
            </w:pPr>
            <w:r>
              <w:rPr/>
              <w:t> </w:t>
            </w:r>
            <w:bookmarkStart w:id="187" w:name="xdx_402_eus-gaap--StockIssuedDuringPerio"/>
            <w:bookmarkEnd w:id="187"/>
          </w:p>
        </w:tc>
      </w:tr>
      <w:tr>
        <w:trPr/>
        <w:tc>
          <w:tcPr>
            <w:tcW w:w="1460" w:type="dxa"/>
            <w:tcBorders/>
            <w:shd w:fill="CCEEFF" w:val="clear"/>
            <w:vAlign w:val="center"/>
          </w:tcPr>
          <w:p>
            <w:pPr>
              <w:pStyle w:val="TableContents"/>
              <w:bidi w:val="0"/>
              <w:spacing w:before="0" w:after="283"/>
              <w:jc w:val="left"/>
              <w:rPr/>
            </w:pPr>
            <w:r>
              <w:rPr/>
              <w:t>Sale of common stock under at-the- market offering, net of transaction costs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88" w:name="xdx_983_eus-gaap--StockIssuedDuringPerio"/>
            <w:bookmarkEnd w:id="188"/>
          </w:p>
        </w:tc>
        <w:tc>
          <w:tcPr>
            <w:tcW w:w="1100" w:type="dxa"/>
            <w:tcBorders/>
            <w:shd w:fill="CCEEFF" w:val="clear"/>
            <w:vAlign w:val="center"/>
          </w:tcPr>
          <w:p>
            <w:pPr>
              <w:pStyle w:val="TableContents"/>
              <w:bidi w:val="0"/>
              <w:spacing w:before="0" w:after="283"/>
              <w:jc w:val="right"/>
              <w:rPr/>
            </w:pPr>
            <w:r>
              <w:rPr/>
              <w:t>4,403,166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20" w:type="dxa"/>
            <w:tcBorders/>
            <w:shd w:fill="CCEEFF" w:val="clear"/>
            <w:vAlign w:val="center"/>
          </w:tcPr>
          <w:p>
            <w:pPr>
              <w:pStyle w:val="TableContents"/>
              <w:bidi w:val="0"/>
              <w:spacing w:before="0" w:after="283"/>
              <w:jc w:val="right"/>
              <w:rPr/>
            </w:pPr>
            <w:r>
              <w:rPr/>
              <w:t>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5" w:type="dxa"/>
            <w:tcBorders/>
            <w:shd w:fill="CCEEFF" w:val="clear"/>
            <w:vAlign w:val="center"/>
          </w:tcPr>
          <w:p>
            <w:pPr>
              <w:pStyle w:val="TableContents"/>
              <w:bidi w:val="0"/>
              <w:spacing w:before="0" w:after="283"/>
              <w:jc w:val="left"/>
              <w:rPr/>
            </w:pPr>
            <w:r>
              <w:rPr/>
              <w:t> </w:t>
            </w:r>
          </w:p>
        </w:tc>
        <w:tc>
          <w:tcPr>
            <w:tcW w:w="1345" w:type="dxa"/>
            <w:tcBorders/>
            <w:shd w:fill="CCEEFF" w:val="clear"/>
            <w:vAlign w:val="center"/>
          </w:tcPr>
          <w:p>
            <w:pPr>
              <w:pStyle w:val="TableContents"/>
              <w:bidi w:val="0"/>
              <w:spacing w:before="0" w:after="283"/>
              <w:jc w:val="right"/>
              <w:rPr/>
            </w:pPr>
            <w:r>
              <w:rPr/>
              <w:t>3,878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left"/>
              <w:rPr/>
            </w:pPr>
            <w:r>
              <w:rPr/>
              <w:t> </w:t>
            </w:r>
          </w:p>
        </w:tc>
        <w:tc>
          <w:tcPr>
            <w:tcW w:w="132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8" w:type="dxa"/>
            <w:tcBorders/>
            <w:shd w:fill="CCEEFF" w:val="clear"/>
            <w:vAlign w:val="center"/>
          </w:tcPr>
          <w:p>
            <w:pPr>
              <w:pStyle w:val="TableContents"/>
              <w:bidi w:val="0"/>
              <w:spacing w:before="0" w:after="283"/>
              <w:jc w:val="left"/>
              <w:rPr/>
            </w:pPr>
            <w:r>
              <w:rPr/>
              <w:t> </w:t>
            </w:r>
          </w:p>
        </w:tc>
        <w:tc>
          <w:tcPr>
            <w:tcW w:w="1057"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3,882</w:t>
            </w:r>
          </w:p>
        </w:tc>
        <w:tc>
          <w:tcPr>
            <w:tcW w:w="110" w:type="dxa"/>
            <w:tcBorders/>
            <w:shd w:fill="CCEEFF" w:val="clear"/>
            <w:vAlign w:val="center"/>
          </w:tcPr>
          <w:p>
            <w:pPr>
              <w:pStyle w:val="TableContents"/>
              <w:bidi w:val="0"/>
              <w:spacing w:before="0" w:after="283"/>
              <w:ind w:left="0" w:right="0" w:hanging="0"/>
              <w:jc w:val="left"/>
              <w:rPr/>
            </w:pPr>
            <w:r>
              <w:rPr/>
              <w:t> </w:t>
            </w:r>
            <w:bookmarkStart w:id="189" w:name="xdx_408_ecustom--StockIssuedDuringPeriod"/>
            <w:bookmarkEnd w:id="189"/>
          </w:p>
        </w:tc>
      </w:tr>
      <w:tr>
        <w:trPr/>
        <w:tc>
          <w:tcPr>
            <w:tcW w:w="1460" w:type="dxa"/>
            <w:tcBorders/>
            <w:shd w:fill="FFFFFF" w:val="clear"/>
            <w:vAlign w:val="center"/>
          </w:tcPr>
          <w:p>
            <w:pPr>
              <w:pStyle w:val="TableContents"/>
              <w:bidi w:val="0"/>
              <w:spacing w:before="0" w:after="283"/>
              <w:jc w:val="left"/>
              <w:rPr/>
            </w:pPr>
            <w:r>
              <w:rPr/>
              <w:t>Sale of common stock and warrants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190" w:name="xdx_982_ecustom--StockIssuedDuringPeriod"/>
            <w:bookmarkEnd w:id="190"/>
          </w:p>
        </w:tc>
        <w:tc>
          <w:tcPr>
            <w:tcW w:w="1100" w:type="dxa"/>
            <w:tcBorders/>
            <w:shd w:fill="FFFFFF" w:val="clear"/>
            <w:vAlign w:val="center"/>
          </w:tcPr>
          <w:p>
            <w:pPr>
              <w:pStyle w:val="TableContents"/>
              <w:bidi w:val="0"/>
              <w:spacing w:before="0" w:after="283"/>
              <w:jc w:val="right"/>
              <w:rPr/>
            </w:pPr>
            <w:r>
              <w:rPr/>
              <w:t>758,514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pPr>
            <w:r>
              <w:rPr/>
              <w:t>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5" w:type="dxa"/>
            <w:tcBorders/>
            <w:shd w:fill="FFFFFF" w:val="clear"/>
            <w:vAlign w:val="center"/>
          </w:tcPr>
          <w:p>
            <w:pPr>
              <w:pStyle w:val="TableContents"/>
              <w:bidi w:val="0"/>
              <w:spacing w:before="0" w:after="283"/>
              <w:jc w:val="left"/>
              <w:rPr/>
            </w:pPr>
            <w:r>
              <w:rPr/>
              <w:t> </w:t>
            </w:r>
          </w:p>
        </w:tc>
        <w:tc>
          <w:tcPr>
            <w:tcW w:w="1345" w:type="dxa"/>
            <w:tcBorders/>
            <w:shd w:fill="FFFFFF" w:val="clear"/>
            <w:vAlign w:val="center"/>
          </w:tcPr>
          <w:p>
            <w:pPr>
              <w:pStyle w:val="TableContents"/>
              <w:bidi w:val="0"/>
              <w:spacing w:before="0" w:after="283"/>
              <w:jc w:val="right"/>
              <w:rPr/>
            </w:pPr>
            <w:r>
              <w:rPr/>
              <w:t>817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18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0" w:type="dxa"/>
            <w:tcBorders/>
            <w:shd w:fill="FFFFFF" w:val="clear"/>
            <w:vAlign w:val="center"/>
          </w:tcPr>
          <w:p>
            <w:pPr>
              <w:pStyle w:val="TableContents"/>
              <w:bidi w:val="0"/>
              <w:spacing w:before="0" w:after="283"/>
              <w:jc w:val="left"/>
              <w:rPr/>
            </w:pPr>
            <w:r>
              <w:rPr/>
              <w:t> </w:t>
            </w:r>
          </w:p>
        </w:tc>
        <w:tc>
          <w:tcPr>
            <w:tcW w:w="132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8" w:type="dxa"/>
            <w:tcBorders/>
            <w:shd w:fill="FFFFFF" w:val="clear"/>
            <w:vAlign w:val="center"/>
          </w:tcPr>
          <w:p>
            <w:pPr>
              <w:pStyle w:val="TableContents"/>
              <w:bidi w:val="0"/>
              <w:spacing w:before="0" w:after="283"/>
              <w:jc w:val="left"/>
              <w:rPr/>
            </w:pPr>
            <w:r>
              <w:rPr/>
              <w:t> </w:t>
            </w:r>
          </w:p>
        </w:tc>
        <w:tc>
          <w:tcPr>
            <w:tcW w:w="1057"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818</w:t>
            </w:r>
          </w:p>
        </w:tc>
        <w:tc>
          <w:tcPr>
            <w:tcW w:w="110" w:type="dxa"/>
            <w:tcBorders/>
            <w:shd w:fill="FFFFFF" w:val="clear"/>
            <w:vAlign w:val="center"/>
          </w:tcPr>
          <w:p>
            <w:pPr>
              <w:pStyle w:val="TableContents"/>
              <w:bidi w:val="0"/>
              <w:spacing w:before="0" w:after="283"/>
              <w:ind w:left="0" w:right="0" w:hanging="0"/>
              <w:jc w:val="left"/>
              <w:rPr/>
            </w:pPr>
            <w:r>
              <w:rPr/>
              <w:t> </w:t>
            </w:r>
            <w:bookmarkStart w:id="191" w:name="xdx_402_ecustom--StockIssuedDuringPeriod"/>
            <w:bookmarkEnd w:id="191"/>
          </w:p>
        </w:tc>
      </w:tr>
      <w:tr>
        <w:trPr/>
        <w:tc>
          <w:tcPr>
            <w:tcW w:w="1460" w:type="dxa"/>
            <w:tcBorders/>
            <w:shd w:fill="CCEEFF" w:val="clear"/>
            <w:vAlign w:val="center"/>
          </w:tcPr>
          <w:p>
            <w:pPr>
              <w:pStyle w:val="TableContents"/>
              <w:bidi w:val="0"/>
              <w:spacing w:before="0" w:after="283"/>
              <w:jc w:val="left"/>
              <w:rPr/>
            </w:pPr>
            <w:r>
              <w:rPr/>
              <w:t>Common stock issued to settle accounts payable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92" w:name="xdx_98E_ecustom--StockIssuedDuringPeriod"/>
            <w:bookmarkEnd w:id="192"/>
          </w:p>
        </w:tc>
        <w:tc>
          <w:tcPr>
            <w:tcW w:w="1100" w:type="dxa"/>
            <w:tcBorders/>
            <w:shd w:fill="CCEEFF" w:val="clear"/>
            <w:vAlign w:val="center"/>
          </w:tcPr>
          <w:p>
            <w:pPr>
              <w:pStyle w:val="TableContents"/>
              <w:bidi w:val="0"/>
              <w:spacing w:before="0" w:after="283"/>
              <w:jc w:val="right"/>
              <w:rPr/>
            </w:pPr>
            <w:r>
              <w:rPr/>
              <w:t>135,000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20" w:type="dxa"/>
            <w:tcBorders/>
            <w:shd w:fill="CCEEFF" w:val="clear"/>
            <w:vAlign w:val="center"/>
          </w:tcPr>
          <w:p>
            <w:pPr>
              <w:pStyle w:val="TableContents"/>
              <w:bidi w:val="0"/>
              <w:spacing w:before="0" w:after="283"/>
              <w:jc w:val="right"/>
              <w:rPr/>
            </w:pPr>
            <w:r>
              <w:rPr>
                <w:rFonts w:ascii="Times New Roman;Times;Serif" w:hAnsi="Times New Roman;Times;Serif"/>
                <w:sz w:val="20"/>
              </w:rPr>
              <w:t>-</w:t>
            </w:r>
            <w:bookmarkStart w:id="193" w:name="xdx_F26_zGWRq4ORjMua"/>
            <w:bookmarkEnd w:id="193"/>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5" w:type="dxa"/>
            <w:tcBorders/>
            <w:shd w:fill="CCEEFF" w:val="clear"/>
            <w:vAlign w:val="center"/>
          </w:tcPr>
          <w:p>
            <w:pPr>
              <w:pStyle w:val="TableContents"/>
              <w:bidi w:val="0"/>
              <w:spacing w:before="0" w:after="283"/>
              <w:jc w:val="left"/>
              <w:rPr/>
            </w:pPr>
            <w:r>
              <w:rPr/>
              <w:t> </w:t>
            </w:r>
          </w:p>
        </w:tc>
        <w:tc>
          <w:tcPr>
            <w:tcW w:w="1345" w:type="dxa"/>
            <w:tcBorders/>
            <w:shd w:fill="CCEEFF" w:val="clear"/>
            <w:vAlign w:val="center"/>
          </w:tcPr>
          <w:p>
            <w:pPr>
              <w:pStyle w:val="TableContents"/>
              <w:bidi w:val="0"/>
              <w:spacing w:before="0" w:after="283"/>
              <w:jc w:val="right"/>
              <w:rPr/>
            </w:pPr>
            <w:r>
              <w:rPr/>
              <w:t>189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left"/>
              <w:rPr/>
            </w:pPr>
            <w:r>
              <w:rPr/>
              <w:t> </w:t>
            </w:r>
          </w:p>
        </w:tc>
        <w:tc>
          <w:tcPr>
            <w:tcW w:w="132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8" w:type="dxa"/>
            <w:tcBorders/>
            <w:shd w:fill="CCEEFF" w:val="clear"/>
            <w:vAlign w:val="center"/>
          </w:tcPr>
          <w:p>
            <w:pPr>
              <w:pStyle w:val="TableContents"/>
              <w:bidi w:val="0"/>
              <w:spacing w:before="0" w:after="283"/>
              <w:jc w:val="left"/>
              <w:rPr/>
            </w:pPr>
            <w:r>
              <w:rPr/>
              <w:t> </w:t>
            </w:r>
          </w:p>
        </w:tc>
        <w:tc>
          <w:tcPr>
            <w:tcW w:w="1057"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189</w:t>
            </w:r>
          </w:p>
        </w:tc>
        <w:tc>
          <w:tcPr>
            <w:tcW w:w="110" w:type="dxa"/>
            <w:tcBorders/>
            <w:shd w:fill="CCEEFF" w:val="clear"/>
            <w:vAlign w:val="center"/>
          </w:tcPr>
          <w:p>
            <w:pPr>
              <w:pStyle w:val="TableContents"/>
              <w:bidi w:val="0"/>
              <w:spacing w:before="0" w:after="283"/>
              <w:ind w:left="0" w:right="0" w:hanging="0"/>
              <w:jc w:val="left"/>
              <w:rPr/>
            </w:pPr>
            <w:r>
              <w:rPr/>
              <w:t> </w:t>
            </w:r>
            <w:bookmarkStart w:id="194" w:name="xdx_407_eus-gaap--AdjustmentsToAdditiona"/>
            <w:bookmarkEnd w:id="194"/>
          </w:p>
        </w:tc>
      </w:tr>
      <w:tr>
        <w:trPr/>
        <w:tc>
          <w:tcPr>
            <w:tcW w:w="1460" w:type="dxa"/>
            <w:tcBorders/>
            <w:shd w:fill="FFFFFF" w:val="clear"/>
            <w:vAlign w:val="center"/>
          </w:tcPr>
          <w:p>
            <w:pPr>
              <w:pStyle w:val="TableContents"/>
              <w:bidi w:val="0"/>
              <w:spacing w:before="0" w:after="283"/>
              <w:jc w:val="left"/>
              <w:rPr/>
            </w:pPr>
            <w:r>
              <w:rPr/>
              <w:t>Preferred stock dividend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5" w:type="dxa"/>
            <w:tcBorders/>
            <w:shd w:fill="FFFFFF" w:val="clear"/>
            <w:vAlign w:val="center"/>
          </w:tcPr>
          <w:p>
            <w:pPr>
              <w:pStyle w:val="TableContents"/>
              <w:bidi w:val="0"/>
              <w:spacing w:before="0" w:after="283"/>
              <w:jc w:val="left"/>
              <w:rPr/>
            </w:pPr>
            <w:r>
              <w:rPr/>
              <w:t> </w:t>
            </w:r>
          </w:p>
        </w:tc>
        <w:tc>
          <w:tcPr>
            <w:tcW w:w="1345" w:type="dxa"/>
            <w:tcBorders/>
            <w:shd w:fill="FFFFFF" w:val="clear"/>
            <w:vAlign w:val="center"/>
          </w:tcPr>
          <w:p>
            <w:pPr>
              <w:pStyle w:val="TableContents"/>
              <w:bidi w:val="0"/>
              <w:spacing w:before="0" w:after="283"/>
              <w:jc w:val="right"/>
              <w:rPr/>
            </w:pPr>
            <w:r>
              <w:rPr/>
              <w:t>(2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18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0" w:type="dxa"/>
            <w:tcBorders/>
            <w:shd w:fill="FFFFFF" w:val="clear"/>
            <w:vAlign w:val="center"/>
          </w:tcPr>
          <w:p>
            <w:pPr>
              <w:pStyle w:val="TableContents"/>
              <w:bidi w:val="0"/>
              <w:spacing w:before="0" w:after="283"/>
              <w:jc w:val="left"/>
              <w:rPr/>
            </w:pPr>
            <w:r>
              <w:rPr/>
              <w:t> </w:t>
            </w:r>
          </w:p>
        </w:tc>
        <w:tc>
          <w:tcPr>
            <w:tcW w:w="132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8" w:type="dxa"/>
            <w:tcBorders/>
            <w:shd w:fill="FFFFFF" w:val="clear"/>
            <w:vAlign w:val="center"/>
          </w:tcPr>
          <w:p>
            <w:pPr>
              <w:pStyle w:val="TableContents"/>
              <w:bidi w:val="0"/>
              <w:spacing w:before="0" w:after="283"/>
              <w:jc w:val="left"/>
              <w:rPr/>
            </w:pPr>
            <w:r>
              <w:rPr/>
              <w:t> </w:t>
            </w:r>
          </w:p>
        </w:tc>
        <w:tc>
          <w:tcPr>
            <w:tcW w:w="1057"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(2</w:t>
            </w:r>
          </w:p>
        </w:tc>
        <w:tc>
          <w:tcPr>
            <w:tcW w:w="110" w:type="dxa"/>
            <w:tcBorders/>
            <w:shd w:fill="FFFFFF" w:val="clear"/>
            <w:vAlign w:val="center"/>
          </w:tcPr>
          <w:p>
            <w:pPr>
              <w:pStyle w:val="TableContents"/>
              <w:bidi w:val="0"/>
              <w:spacing w:before="0" w:after="283"/>
              <w:ind w:left="0" w:right="0" w:hanging="0"/>
              <w:jc w:val="left"/>
              <w:rPr/>
            </w:pPr>
            <w:r>
              <w:rPr/>
              <w:t>)</w:t>
            </w:r>
            <w:bookmarkStart w:id="195" w:name="xdx_40D_eus-gaap--ProfitLoss_zzNwiXIvAEK"/>
            <w:bookmarkEnd w:id="195"/>
          </w:p>
        </w:tc>
      </w:tr>
      <w:tr>
        <w:trPr/>
        <w:tc>
          <w:tcPr>
            <w:tcW w:w="1460" w:type="dxa"/>
            <w:tcBorders/>
            <w:shd w:fill="CCEEFF" w:val="clear"/>
            <w:vAlign w:val="center"/>
          </w:tcPr>
          <w:p>
            <w:pPr>
              <w:pStyle w:val="TableContents"/>
              <w:bidi w:val="0"/>
              <w:spacing w:before="0" w:after="283"/>
              <w:jc w:val="left"/>
              <w:rPr/>
            </w:pPr>
            <w:r>
              <w:rPr/>
              <w:t>Net loss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2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45"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82" w:type="dxa"/>
            <w:tcBorders>
              <w:bottom w:val="single" w:sz="8" w:space="0" w:color="000000"/>
            </w:tcBorders>
            <w:shd w:fill="CCEEFF" w:val="clear"/>
            <w:tcMar>
              <w:bottom w:w="28" w:type="dxa"/>
            </w:tcMar>
            <w:vAlign w:val="center"/>
          </w:tcPr>
          <w:p>
            <w:pPr>
              <w:pStyle w:val="TableContents"/>
              <w:bidi w:val="0"/>
              <w:spacing w:before="0" w:after="283"/>
              <w:jc w:val="right"/>
              <w:rPr/>
            </w:pPr>
            <w:r>
              <w:rPr/>
              <w:t>(2,812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9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2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7" w:type="dxa"/>
            <w:tcBorders>
              <w:bottom w:val="single" w:sz="8" w:space="0" w:color="000000"/>
            </w:tcBorders>
            <w:shd w:fill="CCEEFF" w:val="clear"/>
            <w:tcMar>
              <w:bottom w:w="28" w:type="dxa"/>
            </w:tcMar>
            <w:vAlign w:val="center"/>
          </w:tcPr>
          <w:p>
            <w:pPr>
              <w:pStyle w:val="TableContents"/>
              <w:bidi w:val="0"/>
              <w:spacing w:before="0" w:after="283"/>
              <w:jc w:val="right"/>
              <w:rPr/>
            </w:pPr>
            <w:r>
              <w:rPr/>
              <w:t>12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(2,800</w:t>
            </w:r>
          </w:p>
        </w:tc>
        <w:tc>
          <w:tcPr>
            <w:tcW w:w="110" w:type="dxa"/>
            <w:tcBorders/>
            <w:shd w:fill="CCEEFF" w:val="clear"/>
            <w:vAlign w:val="center"/>
          </w:tcPr>
          <w:p>
            <w:pPr>
              <w:pStyle w:val="TableContents"/>
              <w:bidi w:val="0"/>
              <w:spacing w:before="0" w:after="283"/>
              <w:ind w:left="0" w:right="0" w:hanging="0"/>
              <w:jc w:val="left"/>
              <w:rPr/>
            </w:pPr>
            <w:r>
              <w:rPr/>
              <w:t>)</w:t>
            </w:r>
            <w:bookmarkStart w:id="196" w:name="xdx_431_c20250401__20250630_eus-gaap--St"/>
            <w:bookmarkEnd w:id="196"/>
          </w:p>
        </w:tc>
      </w:tr>
      <w:tr>
        <w:trPr/>
        <w:tc>
          <w:tcPr>
            <w:tcW w:w="1460"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 xml:space="preserve">Balance, March 31, 2025 </w:t>
            </w:r>
            <w:r>
              <w:rPr>
                <w:rFonts w:ascii="Times New Roman;Times;Serif" w:hAnsi="Times New Roman;Times;Serif"/>
                <w:b/>
                <w:i/>
                <w:sz w:val="20"/>
              </w:rPr>
              <w:t>(Unaudited)</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197" w:name="xdx_981_eus-gaap--SharesOutstanding_iS_p"/>
            <w:bookmarkEnd w:id="197"/>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24,248,315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b/>
              </w:rPr>
            </w:pPr>
            <w:r>
              <w:rPr>
                <w:b/>
              </w:rPr>
              <w:t>$</w:t>
            </w:r>
          </w:p>
        </w:tc>
        <w:tc>
          <w:tcPr>
            <w:tcW w:w="920"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24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5" w:type="dxa"/>
            <w:tcBorders>
              <w:bottom w:val="single" w:sz="8" w:space="0" w:color="000000"/>
            </w:tcBorders>
            <w:shd w:fill="FFFFFF" w:val="clear"/>
            <w:tcMar>
              <w:bottom w:w="28" w:type="dxa"/>
            </w:tcMar>
            <w:vAlign w:val="center"/>
          </w:tcPr>
          <w:p>
            <w:pPr>
              <w:pStyle w:val="TableContents"/>
              <w:bidi w:val="0"/>
              <w:spacing w:before="0" w:after="283"/>
              <w:jc w:val="left"/>
              <w:rPr>
                <w:b/>
              </w:rPr>
            </w:pPr>
            <w:r>
              <w:rPr>
                <w:b/>
              </w:rPr>
              <w:t>$</w:t>
            </w:r>
          </w:p>
        </w:tc>
        <w:tc>
          <w:tcPr>
            <w:tcW w:w="1345"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260,738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bottom w:val="single" w:sz="8" w:space="0" w:color="000000"/>
            </w:tcBorders>
            <w:shd w:fill="FFFFFF" w:val="clear"/>
            <w:tcMar>
              <w:bottom w:w="28" w:type="dxa"/>
            </w:tcMar>
            <w:vAlign w:val="center"/>
          </w:tcPr>
          <w:p>
            <w:pPr>
              <w:pStyle w:val="TableContents"/>
              <w:bidi w:val="0"/>
              <w:spacing w:before="0" w:after="283"/>
              <w:jc w:val="left"/>
              <w:rPr>
                <w:b/>
              </w:rPr>
            </w:pPr>
            <w:r>
              <w:rPr>
                <w:b/>
              </w:rPr>
              <w:t>$</w:t>
            </w:r>
          </w:p>
        </w:tc>
        <w:tc>
          <w:tcPr>
            <w:tcW w:w="1182"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(258,157</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290" w:type="dxa"/>
            <w:tcBorders>
              <w:bottom w:val="single" w:sz="8" w:space="0" w:color="000000"/>
            </w:tcBorders>
            <w:shd w:fill="FFFFFF" w:val="clear"/>
            <w:tcMar>
              <w:bottom w:w="28" w:type="dxa"/>
            </w:tcMar>
            <w:vAlign w:val="center"/>
          </w:tcPr>
          <w:p>
            <w:pPr>
              <w:pStyle w:val="TableContents"/>
              <w:bidi w:val="0"/>
              <w:spacing w:before="0" w:after="283"/>
              <w:jc w:val="left"/>
              <w:rPr>
                <w:b/>
              </w:rPr>
            </w:pPr>
            <w:r>
              <w:rPr>
                <w:b/>
              </w:rPr>
              <w:t>$</w:t>
            </w:r>
          </w:p>
        </w:tc>
        <w:tc>
          <w:tcPr>
            <w:tcW w:w="1320"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8" w:type="dxa"/>
            <w:tcBorders>
              <w:bottom w:val="single" w:sz="8" w:space="0" w:color="000000"/>
            </w:tcBorders>
            <w:shd w:fill="FFFFFF" w:val="clear"/>
            <w:tcMar>
              <w:bottom w:w="28" w:type="dxa"/>
            </w:tcMar>
            <w:vAlign w:val="center"/>
          </w:tcPr>
          <w:p>
            <w:pPr>
              <w:pStyle w:val="TableContents"/>
              <w:bidi w:val="0"/>
              <w:spacing w:before="0" w:after="283"/>
              <w:jc w:val="left"/>
              <w:rPr>
                <w:b/>
              </w:rPr>
            </w:pPr>
            <w:r>
              <w:rPr>
                <w:b/>
              </w:rPr>
              <w:t>$</w:t>
            </w:r>
          </w:p>
        </w:tc>
        <w:tc>
          <w:tcPr>
            <w:tcW w:w="1057"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29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b/>
              </w:rPr>
            </w:pPr>
            <w:r>
              <w:rPr>
                <w:b/>
              </w:rPr>
              <w:t>$</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2,634</w:t>
            </w:r>
          </w:p>
        </w:tc>
        <w:tc>
          <w:tcPr>
            <w:tcW w:w="110" w:type="dxa"/>
            <w:tcBorders/>
            <w:shd w:fill="FFFFFF" w:val="clear"/>
            <w:vAlign w:val="center"/>
          </w:tcPr>
          <w:p>
            <w:pPr>
              <w:pStyle w:val="TableContents"/>
              <w:bidi w:val="0"/>
              <w:spacing w:before="0" w:after="283"/>
              <w:ind w:left="0" w:right="0" w:hanging="0"/>
              <w:jc w:val="left"/>
              <w:rPr/>
            </w:pPr>
            <w:r>
              <w:rPr/>
              <w:t> </w:t>
            </w:r>
            <w:bookmarkStart w:id="198" w:name="xdx_409_eus-gaap--StockIssuedDuringPerio"/>
            <w:bookmarkEnd w:id="198"/>
          </w:p>
        </w:tc>
      </w:tr>
      <w:tr>
        <w:trPr/>
        <w:tc>
          <w:tcPr>
            <w:tcW w:w="1460" w:type="dxa"/>
            <w:tcBorders/>
            <w:shd w:fill="CCEEFF" w:val="clear"/>
            <w:vAlign w:val="center"/>
          </w:tcPr>
          <w:p>
            <w:pPr>
              <w:pStyle w:val="TableContents"/>
              <w:bidi w:val="0"/>
              <w:spacing w:before="0" w:after="283"/>
              <w:jc w:val="left"/>
              <w:rPr/>
            </w:pPr>
            <w:r>
              <w:rPr/>
              <w:t>Common stock issued for services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99" w:name="xdx_98A_eus-gaap--StockIssuedDuringPerio"/>
            <w:bookmarkEnd w:id="199"/>
          </w:p>
        </w:tc>
        <w:tc>
          <w:tcPr>
            <w:tcW w:w="1100" w:type="dxa"/>
            <w:tcBorders/>
            <w:shd w:fill="CCEEFF" w:val="clear"/>
            <w:vAlign w:val="center"/>
          </w:tcPr>
          <w:p>
            <w:pPr>
              <w:pStyle w:val="TableContents"/>
              <w:bidi w:val="0"/>
              <w:spacing w:before="0" w:after="283"/>
              <w:jc w:val="right"/>
              <w:rPr/>
            </w:pPr>
            <w:r>
              <w:rPr/>
              <w:t>3,758,380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20" w:type="dxa"/>
            <w:tcBorders/>
            <w:shd w:fill="CCEEFF" w:val="clear"/>
            <w:vAlign w:val="center"/>
          </w:tcPr>
          <w:p>
            <w:pPr>
              <w:pStyle w:val="TableContents"/>
              <w:bidi w:val="0"/>
              <w:spacing w:before="0" w:after="283"/>
              <w:jc w:val="right"/>
              <w:rPr/>
            </w:pPr>
            <w:r>
              <w:rPr/>
              <w:t>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5" w:type="dxa"/>
            <w:tcBorders/>
            <w:shd w:fill="CCEEFF" w:val="clear"/>
            <w:vAlign w:val="center"/>
          </w:tcPr>
          <w:p>
            <w:pPr>
              <w:pStyle w:val="TableContents"/>
              <w:bidi w:val="0"/>
              <w:spacing w:before="0" w:after="283"/>
              <w:jc w:val="left"/>
              <w:rPr/>
            </w:pPr>
            <w:r>
              <w:rPr/>
              <w:t> </w:t>
            </w:r>
          </w:p>
        </w:tc>
        <w:tc>
          <w:tcPr>
            <w:tcW w:w="1345" w:type="dxa"/>
            <w:tcBorders/>
            <w:shd w:fill="CCEEFF" w:val="clear"/>
            <w:vAlign w:val="center"/>
          </w:tcPr>
          <w:p>
            <w:pPr>
              <w:pStyle w:val="TableContents"/>
              <w:bidi w:val="0"/>
              <w:spacing w:before="0" w:after="283"/>
              <w:jc w:val="right"/>
              <w:rPr/>
            </w:pPr>
            <w:r>
              <w:rPr/>
              <w:t>5,278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left"/>
              <w:rPr/>
            </w:pPr>
            <w:r>
              <w:rPr/>
              <w:t> </w:t>
            </w:r>
          </w:p>
        </w:tc>
        <w:tc>
          <w:tcPr>
            <w:tcW w:w="132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8" w:type="dxa"/>
            <w:tcBorders/>
            <w:shd w:fill="CCEEFF" w:val="clear"/>
            <w:vAlign w:val="center"/>
          </w:tcPr>
          <w:p>
            <w:pPr>
              <w:pStyle w:val="TableContents"/>
              <w:bidi w:val="0"/>
              <w:spacing w:before="0" w:after="283"/>
              <w:jc w:val="left"/>
              <w:rPr/>
            </w:pPr>
            <w:r>
              <w:rPr/>
              <w:t> </w:t>
            </w:r>
          </w:p>
        </w:tc>
        <w:tc>
          <w:tcPr>
            <w:tcW w:w="1057"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5,282</w:t>
            </w:r>
          </w:p>
        </w:tc>
        <w:tc>
          <w:tcPr>
            <w:tcW w:w="110" w:type="dxa"/>
            <w:tcBorders/>
            <w:shd w:fill="CCEEFF" w:val="clear"/>
            <w:vAlign w:val="center"/>
          </w:tcPr>
          <w:p>
            <w:pPr>
              <w:pStyle w:val="TableContents"/>
              <w:bidi w:val="0"/>
              <w:spacing w:before="0" w:after="283"/>
              <w:ind w:left="0" w:right="0" w:hanging="0"/>
              <w:jc w:val="left"/>
              <w:rPr/>
            </w:pPr>
            <w:r>
              <w:rPr/>
              <w:t> </w:t>
            </w:r>
            <w:bookmarkStart w:id="200" w:name="xdx_407_eus-gaap--StockIssuedDuringPerio"/>
            <w:bookmarkEnd w:id="200"/>
          </w:p>
        </w:tc>
      </w:tr>
      <w:tr>
        <w:trPr/>
        <w:tc>
          <w:tcPr>
            <w:tcW w:w="1460" w:type="dxa"/>
            <w:tcBorders/>
            <w:shd w:fill="FFFFFF" w:val="clear"/>
            <w:vAlign w:val="center"/>
          </w:tcPr>
          <w:p>
            <w:pPr>
              <w:pStyle w:val="TableContents"/>
              <w:bidi w:val="0"/>
              <w:spacing w:before="0" w:after="283"/>
              <w:jc w:val="left"/>
              <w:rPr/>
            </w:pPr>
            <w:r>
              <w:rPr/>
              <w:t>Exercise of warrants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201" w:name="xdx_980_eus-gaap--StockIssuedDuringPerio"/>
            <w:bookmarkEnd w:id="201"/>
          </w:p>
        </w:tc>
        <w:tc>
          <w:tcPr>
            <w:tcW w:w="1100" w:type="dxa"/>
            <w:tcBorders/>
            <w:shd w:fill="FFFFFF" w:val="clear"/>
            <w:vAlign w:val="center"/>
          </w:tcPr>
          <w:p>
            <w:pPr>
              <w:pStyle w:val="TableContents"/>
              <w:bidi w:val="0"/>
              <w:spacing w:before="0" w:after="283"/>
              <w:jc w:val="right"/>
              <w:rPr/>
            </w:pPr>
            <w:r>
              <w:rPr/>
              <w:t>818,827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pPr>
            <w:r>
              <w:rPr/>
              <w:t>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5" w:type="dxa"/>
            <w:tcBorders/>
            <w:shd w:fill="FFFFFF" w:val="clear"/>
            <w:vAlign w:val="center"/>
          </w:tcPr>
          <w:p>
            <w:pPr>
              <w:pStyle w:val="TableContents"/>
              <w:bidi w:val="0"/>
              <w:spacing w:before="0" w:after="283"/>
              <w:jc w:val="left"/>
              <w:rPr/>
            </w:pPr>
            <w:r>
              <w:rPr/>
              <w:t> </w:t>
            </w:r>
          </w:p>
        </w:tc>
        <w:tc>
          <w:tcPr>
            <w:tcW w:w="1345" w:type="dxa"/>
            <w:tcBorders/>
            <w:shd w:fill="FFFFFF" w:val="clear"/>
            <w:vAlign w:val="center"/>
          </w:tcPr>
          <w:p>
            <w:pPr>
              <w:pStyle w:val="TableContents"/>
              <w:bidi w:val="0"/>
              <w:spacing w:before="0" w:after="283"/>
              <w:jc w:val="right"/>
              <w:rPr/>
            </w:pPr>
            <w:r>
              <w:rPr/>
              <w:t>(1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18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0" w:type="dxa"/>
            <w:tcBorders/>
            <w:shd w:fill="FFFFFF" w:val="clear"/>
            <w:vAlign w:val="center"/>
          </w:tcPr>
          <w:p>
            <w:pPr>
              <w:pStyle w:val="TableContents"/>
              <w:bidi w:val="0"/>
              <w:spacing w:before="0" w:after="283"/>
              <w:jc w:val="left"/>
              <w:rPr/>
            </w:pPr>
            <w:r>
              <w:rPr/>
              <w:t> </w:t>
            </w:r>
          </w:p>
        </w:tc>
        <w:tc>
          <w:tcPr>
            <w:tcW w:w="132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8" w:type="dxa"/>
            <w:tcBorders/>
            <w:shd w:fill="FFFFFF" w:val="clear"/>
            <w:vAlign w:val="center"/>
          </w:tcPr>
          <w:p>
            <w:pPr>
              <w:pStyle w:val="TableContents"/>
              <w:bidi w:val="0"/>
              <w:spacing w:before="0" w:after="283"/>
              <w:jc w:val="left"/>
              <w:rPr/>
            </w:pPr>
            <w:r>
              <w:rPr/>
              <w:t> </w:t>
            </w:r>
          </w:p>
        </w:tc>
        <w:tc>
          <w:tcPr>
            <w:tcW w:w="1057"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ind w:left="0" w:right="0" w:hanging="0"/>
              <w:jc w:val="left"/>
              <w:rPr/>
            </w:pPr>
            <w:r>
              <w:rPr/>
              <w:t> </w:t>
            </w:r>
            <w:bookmarkStart w:id="202" w:name="xdx_40A_ecustom--StockIssuedDuringPeriod"/>
            <w:bookmarkEnd w:id="202"/>
          </w:p>
        </w:tc>
      </w:tr>
      <w:tr>
        <w:trPr/>
        <w:tc>
          <w:tcPr>
            <w:tcW w:w="1460" w:type="dxa"/>
            <w:tcBorders/>
            <w:shd w:fill="CCEEFF" w:val="clear"/>
            <w:vAlign w:val="center"/>
          </w:tcPr>
          <w:p>
            <w:pPr>
              <w:pStyle w:val="TableContents"/>
              <w:bidi w:val="0"/>
              <w:spacing w:before="0" w:after="283"/>
              <w:jc w:val="left"/>
              <w:rPr/>
            </w:pPr>
            <w:r>
              <w:rPr/>
              <w:t>Common stock cancelled</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203" w:name="xdx_989_ecustom--StockIssuedDuringPeriod"/>
            <w:bookmarkEnd w:id="203"/>
          </w:p>
        </w:tc>
        <w:tc>
          <w:tcPr>
            <w:tcW w:w="1100" w:type="dxa"/>
            <w:tcBorders/>
            <w:shd w:fill="CCEEFF" w:val="clear"/>
            <w:vAlign w:val="center"/>
          </w:tcPr>
          <w:p>
            <w:pPr>
              <w:pStyle w:val="TableContents"/>
              <w:bidi w:val="0"/>
              <w:spacing w:before="0" w:after="283"/>
              <w:jc w:val="right"/>
              <w:rPr/>
            </w:pPr>
            <w:r>
              <w:rPr/>
              <w:t>(272,399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20" w:type="dxa"/>
            <w:tcBorders/>
            <w:shd w:fill="CCEEFF" w:val="clear"/>
            <w:vAlign w:val="center"/>
          </w:tcPr>
          <w:p>
            <w:pPr>
              <w:pStyle w:val="TableContents"/>
              <w:bidi w:val="0"/>
              <w:spacing w:before="0" w:after="283"/>
              <w:jc w:val="right"/>
              <w:rPr/>
            </w:pPr>
            <w:r>
              <w:rPr>
                <w:rFonts w:ascii="Times New Roman;Times;Serif" w:hAnsi="Times New Roman;Times;Serif"/>
                <w:sz w:val="20"/>
              </w:rPr>
              <w:t>-</w:t>
            </w:r>
            <w:bookmarkStart w:id="204" w:name="xdx_F25_z8MkS5Ipu93h"/>
            <w:bookmarkEnd w:id="204"/>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5" w:type="dxa"/>
            <w:tcBorders/>
            <w:shd w:fill="CCEEFF" w:val="clear"/>
            <w:vAlign w:val="center"/>
          </w:tcPr>
          <w:p>
            <w:pPr>
              <w:pStyle w:val="TableContents"/>
              <w:bidi w:val="0"/>
              <w:spacing w:before="0" w:after="283"/>
              <w:jc w:val="left"/>
              <w:rPr/>
            </w:pPr>
            <w:r>
              <w:rPr/>
              <w:t> </w:t>
            </w:r>
          </w:p>
        </w:tc>
        <w:tc>
          <w:tcPr>
            <w:tcW w:w="134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left"/>
              <w:rPr/>
            </w:pPr>
            <w:r>
              <w:rPr/>
              <w:t> </w:t>
            </w:r>
          </w:p>
        </w:tc>
        <w:tc>
          <w:tcPr>
            <w:tcW w:w="132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8" w:type="dxa"/>
            <w:tcBorders/>
            <w:shd w:fill="CCEEFF" w:val="clear"/>
            <w:vAlign w:val="center"/>
          </w:tcPr>
          <w:p>
            <w:pPr>
              <w:pStyle w:val="TableContents"/>
              <w:bidi w:val="0"/>
              <w:spacing w:before="0" w:after="283"/>
              <w:jc w:val="left"/>
              <w:rPr/>
            </w:pPr>
            <w:r>
              <w:rPr/>
              <w:t> </w:t>
            </w:r>
          </w:p>
        </w:tc>
        <w:tc>
          <w:tcPr>
            <w:tcW w:w="1057"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ind w:left="0" w:right="0" w:hanging="0"/>
              <w:jc w:val="left"/>
              <w:rPr/>
            </w:pPr>
            <w:r>
              <w:rPr/>
              <w:t> </w:t>
            </w:r>
            <w:bookmarkStart w:id="205" w:name="xdx_400_eus-gaap--StockIssuedDuringPerio"/>
            <w:bookmarkEnd w:id="205"/>
          </w:p>
        </w:tc>
      </w:tr>
      <w:tr>
        <w:trPr/>
        <w:tc>
          <w:tcPr>
            <w:tcW w:w="1460" w:type="dxa"/>
            <w:tcBorders/>
            <w:shd w:fill="FFFFFF" w:val="clear"/>
            <w:vAlign w:val="center"/>
          </w:tcPr>
          <w:p>
            <w:pPr>
              <w:pStyle w:val="TableContents"/>
              <w:bidi w:val="0"/>
              <w:spacing w:before="0" w:after="283"/>
              <w:jc w:val="left"/>
              <w:rPr/>
            </w:pPr>
            <w:r>
              <w:rPr/>
              <w:t>Stock based compensation</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206" w:name="xdx_982_eus-gaap--StockIssuedDuringPerio"/>
            <w:bookmarkEnd w:id="206"/>
          </w:p>
        </w:tc>
        <w:tc>
          <w:tcPr>
            <w:tcW w:w="1100" w:type="dxa"/>
            <w:tcBorders/>
            <w:shd w:fill="FFFFFF" w:val="clear"/>
            <w:vAlign w:val="center"/>
          </w:tcPr>
          <w:p>
            <w:pPr>
              <w:pStyle w:val="TableContents"/>
              <w:bidi w:val="0"/>
              <w:spacing w:before="0" w:after="283"/>
              <w:jc w:val="right"/>
              <w:rPr/>
            </w:pPr>
            <w:r>
              <w:rPr/>
              <w:t>2,240,012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pPr>
            <w:r>
              <w:rPr/>
              <w:t>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5" w:type="dxa"/>
            <w:tcBorders/>
            <w:shd w:fill="FFFFFF" w:val="clear"/>
            <w:vAlign w:val="center"/>
          </w:tcPr>
          <w:p>
            <w:pPr>
              <w:pStyle w:val="TableContents"/>
              <w:bidi w:val="0"/>
              <w:spacing w:before="0" w:after="283"/>
              <w:jc w:val="left"/>
              <w:rPr/>
            </w:pPr>
            <w:r>
              <w:rPr/>
              <w:t> </w:t>
            </w:r>
          </w:p>
        </w:tc>
        <w:tc>
          <w:tcPr>
            <w:tcW w:w="1345" w:type="dxa"/>
            <w:tcBorders/>
            <w:shd w:fill="FFFFFF" w:val="clear"/>
            <w:vAlign w:val="center"/>
          </w:tcPr>
          <w:p>
            <w:pPr>
              <w:pStyle w:val="TableContents"/>
              <w:bidi w:val="0"/>
              <w:spacing w:before="0" w:after="283"/>
              <w:jc w:val="right"/>
              <w:rPr/>
            </w:pPr>
            <w:r>
              <w:rPr/>
              <w:t>7,330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18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0" w:type="dxa"/>
            <w:tcBorders/>
            <w:shd w:fill="FFFFFF" w:val="clear"/>
            <w:vAlign w:val="center"/>
          </w:tcPr>
          <w:p>
            <w:pPr>
              <w:pStyle w:val="TableContents"/>
              <w:bidi w:val="0"/>
              <w:spacing w:before="0" w:after="283"/>
              <w:jc w:val="left"/>
              <w:rPr/>
            </w:pPr>
            <w:r>
              <w:rPr/>
              <w:t> </w:t>
            </w:r>
          </w:p>
        </w:tc>
        <w:tc>
          <w:tcPr>
            <w:tcW w:w="132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8" w:type="dxa"/>
            <w:tcBorders/>
            <w:shd w:fill="FFFFFF" w:val="clear"/>
            <w:vAlign w:val="center"/>
          </w:tcPr>
          <w:p>
            <w:pPr>
              <w:pStyle w:val="TableContents"/>
              <w:bidi w:val="0"/>
              <w:spacing w:before="0" w:after="283"/>
              <w:jc w:val="left"/>
              <w:rPr/>
            </w:pPr>
            <w:r>
              <w:rPr/>
              <w:t> </w:t>
            </w:r>
          </w:p>
        </w:tc>
        <w:tc>
          <w:tcPr>
            <w:tcW w:w="1057"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7,332</w:t>
            </w:r>
          </w:p>
        </w:tc>
        <w:tc>
          <w:tcPr>
            <w:tcW w:w="110" w:type="dxa"/>
            <w:tcBorders/>
            <w:shd w:fill="FFFFFF" w:val="clear"/>
            <w:vAlign w:val="center"/>
          </w:tcPr>
          <w:p>
            <w:pPr>
              <w:pStyle w:val="TableContents"/>
              <w:bidi w:val="0"/>
              <w:spacing w:before="0" w:after="283"/>
              <w:ind w:left="0" w:right="0" w:hanging="0"/>
              <w:jc w:val="left"/>
              <w:rPr/>
            </w:pPr>
            <w:r>
              <w:rPr/>
              <w:t> </w:t>
            </w:r>
            <w:bookmarkStart w:id="207" w:name="xdx_407_eus-gaap--AdjustmentsToAdditiona"/>
            <w:bookmarkEnd w:id="207"/>
          </w:p>
        </w:tc>
      </w:tr>
      <w:tr>
        <w:trPr/>
        <w:tc>
          <w:tcPr>
            <w:tcW w:w="1460" w:type="dxa"/>
            <w:tcBorders/>
            <w:shd w:fill="CCEEFF" w:val="clear"/>
            <w:vAlign w:val="center"/>
          </w:tcPr>
          <w:p>
            <w:pPr>
              <w:pStyle w:val="TableContents"/>
              <w:bidi w:val="0"/>
              <w:spacing w:before="0" w:after="283"/>
              <w:jc w:val="left"/>
              <w:rPr/>
            </w:pPr>
            <w:r>
              <w:rPr/>
              <w:t>Preferred stock dividend</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2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5" w:type="dxa"/>
            <w:tcBorders/>
            <w:shd w:fill="CCEEFF" w:val="clear"/>
            <w:vAlign w:val="center"/>
          </w:tcPr>
          <w:p>
            <w:pPr>
              <w:pStyle w:val="TableContents"/>
              <w:bidi w:val="0"/>
              <w:spacing w:before="0" w:after="283"/>
              <w:jc w:val="left"/>
              <w:rPr/>
            </w:pPr>
            <w:r>
              <w:rPr/>
              <w:t> </w:t>
            </w:r>
          </w:p>
        </w:tc>
        <w:tc>
          <w:tcPr>
            <w:tcW w:w="1345" w:type="dxa"/>
            <w:tcBorders/>
            <w:shd w:fill="CCEEFF" w:val="clear"/>
            <w:vAlign w:val="center"/>
          </w:tcPr>
          <w:p>
            <w:pPr>
              <w:pStyle w:val="TableContents"/>
              <w:bidi w:val="0"/>
              <w:spacing w:before="0" w:after="283"/>
              <w:jc w:val="right"/>
              <w:rPr/>
            </w:pPr>
            <w:r>
              <w:rPr/>
              <w:t>(2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left"/>
              <w:rPr/>
            </w:pPr>
            <w:r>
              <w:rPr/>
              <w:t> </w:t>
            </w:r>
          </w:p>
        </w:tc>
        <w:tc>
          <w:tcPr>
            <w:tcW w:w="132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8" w:type="dxa"/>
            <w:tcBorders/>
            <w:shd w:fill="CCEEFF" w:val="clear"/>
            <w:vAlign w:val="center"/>
          </w:tcPr>
          <w:p>
            <w:pPr>
              <w:pStyle w:val="TableContents"/>
              <w:bidi w:val="0"/>
              <w:spacing w:before="0" w:after="283"/>
              <w:jc w:val="left"/>
              <w:rPr/>
            </w:pPr>
            <w:r>
              <w:rPr/>
              <w:t> </w:t>
            </w:r>
          </w:p>
        </w:tc>
        <w:tc>
          <w:tcPr>
            <w:tcW w:w="1057"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(2</w:t>
            </w:r>
          </w:p>
        </w:tc>
        <w:tc>
          <w:tcPr>
            <w:tcW w:w="110" w:type="dxa"/>
            <w:tcBorders/>
            <w:shd w:fill="CCEEFF" w:val="clear"/>
            <w:vAlign w:val="center"/>
          </w:tcPr>
          <w:p>
            <w:pPr>
              <w:pStyle w:val="TableContents"/>
              <w:bidi w:val="0"/>
              <w:spacing w:before="0" w:after="283"/>
              <w:ind w:left="0" w:right="0" w:hanging="0"/>
              <w:jc w:val="left"/>
              <w:rPr/>
            </w:pPr>
            <w:r>
              <w:rPr/>
              <w:t>)</w:t>
            </w:r>
            <w:bookmarkStart w:id="208" w:name="xdx_403_ecustom--OtherComprehensiveIncom"/>
            <w:bookmarkEnd w:id="208"/>
          </w:p>
        </w:tc>
      </w:tr>
      <w:tr>
        <w:trPr/>
        <w:tc>
          <w:tcPr>
            <w:tcW w:w="1460" w:type="dxa"/>
            <w:tcBorders/>
            <w:shd w:fill="FFFFFF" w:val="clear"/>
            <w:vAlign w:val="center"/>
          </w:tcPr>
          <w:p>
            <w:pPr>
              <w:pStyle w:val="TableContents"/>
              <w:bidi w:val="0"/>
              <w:spacing w:before="0" w:after="283"/>
              <w:jc w:val="left"/>
              <w:rPr/>
            </w:pPr>
            <w:r>
              <w:rPr/>
              <w:t>Other comprehensive income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5" w:type="dxa"/>
            <w:tcBorders/>
            <w:shd w:fill="FFFFFF" w:val="clear"/>
            <w:vAlign w:val="center"/>
          </w:tcPr>
          <w:p>
            <w:pPr>
              <w:pStyle w:val="TableContents"/>
              <w:bidi w:val="0"/>
              <w:spacing w:before="0" w:after="283"/>
              <w:jc w:val="left"/>
              <w:rPr/>
            </w:pPr>
            <w:r>
              <w:rPr/>
              <w:t> </w:t>
            </w:r>
          </w:p>
        </w:tc>
        <w:tc>
          <w:tcPr>
            <w:tcW w:w="134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18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0" w:type="dxa"/>
            <w:tcBorders/>
            <w:shd w:fill="FFFFFF" w:val="clear"/>
            <w:vAlign w:val="center"/>
          </w:tcPr>
          <w:p>
            <w:pPr>
              <w:pStyle w:val="TableContents"/>
              <w:bidi w:val="0"/>
              <w:spacing w:before="0" w:after="283"/>
              <w:jc w:val="left"/>
              <w:rPr/>
            </w:pPr>
            <w:r>
              <w:rPr/>
              <w:t> </w:t>
            </w:r>
          </w:p>
        </w:tc>
        <w:tc>
          <w:tcPr>
            <w:tcW w:w="1320" w:type="dxa"/>
            <w:tcBorders/>
            <w:shd w:fill="FFFFFF" w:val="clear"/>
            <w:vAlign w:val="center"/>
          </w:tcPr>
          <w:p>
            <w:pPr>
              <w:pStyle w:val="TableContents"/>
              <w:bidi w:val="0"/>
              <w:spacing w:before="0" w:after="283"/>
              <w:jc w:val="right"/>
              <w:rPr/>
            </w:pPr>
            <w:r>
              <w:rPr/>
              <w:t>1,538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8" w:type="dxa"/>
            <w:tcBorders/>
            <w:shd w:fill="FFFFFF" w:val="clear"/>
            <w:vAlign w:val="center"/>
          </w:tcPr>
          <w:p>
            <w:pPr>
              <w:pStyle w:val="TableContents"/>
              <w:bidi w:val="0"/>
              <w:spacing w:before="0" w:after="283"/>
              <w:jc w:val="left"/>
              <w:rPr/>
            </w:pPr>
            <w:r>
              <w:rPr/>
              <w:t> </w:t>
            </w:r>
          </w:p>
        </w:tc>
        <w:tc>
          <w:tcPr>
            <w:tcW w:w="1057"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1,538</w:t>
            </w:r>
          </w:p>
        </w:tc>
        <w:tc>
          <w:tcPr>
            <w:tcW w:w="110" w:type="dxa"/>
            <w:tcBorders/>
            <w:shd w:fill="FFFFFF" w:val="clear"/>
            <w:vAlign w:val="center"/>
          </w:tcPr>
          <w:p>
            <w:pPr>
              <w:pStyle w:val="TableContents"/>
              <w:bidi w:val="0"/>
              <w:spacing w:before="0" w:after="283"/>
              <w:ind w:left="0" w:right="0" w:hanging="0"/>
              <w:jc w:val="left"/>
              <w:rPr/>
            </w:pPr>
            <w:r>
              <w:rPr/>
              <w:t> </w:t>
            </w:r>
            <w:bookmarkStart w:id="209" w:name="xdx_40D_eus-gaap--ProfitLoss_zXd3BDLFXuX"/>
            <w:bookmarkEnd w:id="209"/>
          </w:p>
        </w:tc>
      </w:tr>
      <w:tr>
        <w:trPr/>
        <w:tc>
          <w:tcPr>
            <w:tcW w:w="1460" w:type="dxa"/>
            <w:tcBorders/>
            <w:shd w:fill="CCEEFF" w:val="clear"/>
            <w:vAlign w:val="center"/>
          </w:tcPr>
          <w:p>
            <w:pPr>
              <w:pStyle w:val="TableContents"/>
              <w:bidi w:val="0"/>
              <w:spacing w:before="0" w:after="283"/>
              <w:jc w:val="left"/>
              <w:rPr/>
            </w:pPr>
            <w:r>
              <w:rPr/>
              <w:t>Net loss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2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45"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82" w:type="dxa"/>
            <w:tcBorders>
              <w:bottom w:val="single" w:sz="8" w:space="0" w:color="000000"/>
            </w:tcBorders>
            <w:shd w:fill="CCEEFF" w:val="clear"/>
            <w:tcMar>
              <w:bottom w:w="28" w:type="dxa"/>
            </w:tcMar>
            <w:vAlign w:val="center"/>
          </w:tcPr>
          <w:p>
            <w:pPr>
              <w:pStyle w:val="TableContents"/>
              <w:bidi w:val="0"/>
              <w:spacing w:before="0" w:after="283"/>
              <w:jc w:val="right"/>
              <w:rPr/>
            </w:pPr>
            <w:r>
              <w:rPr/>
              <w:t>(20,372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9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2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7" w:type="dxa"/>
            <w:tcBorders>
              <w:bottom w:val="single" w:sz="8" w:space="0" w:color="000000"/>
            </w:tcBorders>
            <w:shd w:fill="CCEEFF" w:val="clear"/>
            <w:tcMar>
              <w:bottom w:w="28" w:type="dxa"/>
            </w:tcMar>
            <w:vAlign w:val="center"/>
          </w:tcPr>
          <w:p>
            <w:pPr>
              <w:pStyle w:val="TableContents"/>
              <w:bidi w:val="0"/>
              <w:spacing w:before="0" w:after="283"/>
              <w:jc w:val="right"/>
              <w:rPr/>
            </w:pPr>
            <w:r>
              <w:rPr/>
              <w:t>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(20,368</w:t>
            </w:r>
          </w:p>
        </w:tc>
        <w:tc>
          <w:tcPr>
            <w:tcW w:w="110" w:type="dxa"/>
            <w:tcBorders/>
            <w:shd w:fill="CCEEFF" w:val="clear"/>
            <w:vAlign w:val="center"/>
          </w:tcPr>
          <w:p>
            <w:pPr>
              <w:pStyle w:val="TableContents"/>
              <w:bidi w:val="0"/>
              <w:spacing w:before="0" w:after="283"/>
              <w:ind w:left="0" w:right="0" w:hanging="0"/>
              <w:jc w:val="left"/>
              <w:rPr/>
            </w:pPr>
            <w:r>
              <w:rPr/>
              <w:t>)</w:t>
            </w:r>
            <w:bookmarkStart w:id="210" w:name="xdx_431_c20250701__20250930_eus-gaap--St"/>
            <w:bookmarkEnd w:id="210"/>
          </w:p>
        </w:tc>
      </w:tr>
      <w:tr>
        <w:trPr/>
        <w:tc>
          <w:tcPr>
            <w:tcW w:w="1460"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 xml:space="preserve">Balance, June 30, 2025 </w:t>
            </w:r>
            <w:r>
              <w:rPr>
                <w:rFonts w:ascii="Times New Roman;Times;Serif" w:hAnsi="Times New Roman;Times;Serif"/>
                <w:b/>
                <w:i/>
                <w:sz w:val="20"/>
              </w:rPr>
              <w:t>(Unaudited)</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211" w:name="xdx_98E_eus-gaap--SharesOutstanding_iS_p"/>
            <w:bookmarkEnd w:id="211"/>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30,793,135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b/>
              </w:rPr>
            </w:pPr>
            <w:r>
              <w:rPr>
                <w:b/>
              </w:rPr>
              <w:t>$</w:t>
            </w:r>
          </w:p>
        </w:tc>
        <w:tc>
          <w:tcPr>
            <w:tcW w:w="920"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31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5" w:type="dxa"/>
            <w:tcBorders>
              <w:bottom w:val="single" w:sz="8" w:space="0" w:color="000000"/>
            </w:tcBorders>
            <w:shd w:fill="FFFFFF" w:val="clear"/>
            <w:tcMar>
              <w:bottom w:w="28" w:type="dxa"/>
            </w:tcMar>
            <w:vAlign w:val="center"/>
          </w:tcPr>
          <w:p>
            <w:pPr>
              <w:pStyle w:val="TableContents"/>
              <w:bidi w:val="0"/>
              <w:spacing w:before="0" w:after="283"/>
              <w:jc w:val="left"/>
              <w:rPr>
                <w:b/>
              </w:rPr>
            </w:pPr>
            <w:r>
              <w:rPr>
                <w:b/>
              </w:rPr>
              <w:t>$</w:t>
            </w:r>
          </w:p>
        </w:tc>
        <w:tc>
          <w:tcPr>
            <w:tcW w:w="1345"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273,343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bottom w:val="single" w:sz="8" w:space="0" w:color="000000"/>
            </w:tcBorders>
            <w:shd w:fill="FFFFFF" w:val="clear"/>
            <w:tcMar>
              <w:bottom w:w="28" w:type="dxa"/>
            </w:tcMar>
            <w:vAlign w:val="center"/>
          </w:tcPr>
          <w:p>
            <w:pPr>
              <w:pStyle w:val="TableContents"/>
              <w:bidi w:val="0"/>
              <w:spacing w:before="0" w:after="283"/>
              <w:jc w:val="left"/>
              <w:rPr>
                <w:b/>
              </w:rPr>
            </w:pPr>
            <w:r>
              <w:rPr>
                <w:b/>
              </w:rPr>
              <w:t>$</w:t>
            </w:r>
          </w:p>
        </w:tc>
        <w:tc>
          <w:tcPr>
            <w:tcW w:w="1182"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(278,529</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290" w:type="dxa"/>
            <w:tcBorders>
              <w:bottom w:val="single" w:sz="8" w:space="0" w:color="000000"/>
            </w:tcBorders>
            <w:shd w:fill="FFFFFF" w:val="clear"/>
            <w:tcMar>
              <w:bottom w:w="28" w:type="dxa"/>
            </w:tcMar>
            <w:vAlign w:val="center"/>
          </w:tcPr>
          <w:p>
            <w:pPr>
              <w:pStyle w:val="TableContents"/>
              <w:bidi w:val="0"/>
              <w:spacing w:before="0" w:after="283"/>
              <w:jc w:val="left"/>
              <w:rPr>
                <w:b/>
              </w:rPr>
            </w:pPr>
            <w:r>
              <w:rPr>
                <w:b/>
              </w:rPr>
              <w:t>$</w:t>
            </w:r>
          </w:p>
        </w:tc>
        <w:tc>
          <w:tcPr>
            <w:tcW w:w="1320"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1,538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8" w:type="dxa"/>
            <w:tcBorders>
              <w:bottom w:val="single" w:sz="8" w:space="0" w:color="000000"/>
            </w:tcBorders>
            <w:shd w:fill="FFFFFF" w:val="clear"/>
            <w:tcMar>
              <w:bottom w:w="28" w:type="dxa"/>
            </w:tcMar>
            <w:vAlign w:val="center"/>
          </w:tcPr>
          <w:p>
            <w:pPr>
              <w:pStyle w:val="TableContents"/>
              <w:bidi w:val="0"/>
              <w:spacing w:before="0" w:after="283"/>
              <w:jc w:val="left"/>
              <w:rPr>
                <w:b/>
              </w:rPr>
            </w:pPr>
            <w:r>
              <w:rPr>
                <w:b/>
              </w:rPr>
              <w:t>$</w:t>
            </w:r>
          </w:p>
        </w:tc>
        <w:tc>
          <w:tcPr>
            <w:tcW w:w="1057"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33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b/>
              </w:rPr>
            </w:pPr>
            <w:r>
              <w:rPr>
                <w:b/>
              </w:rPr>
              <w:t>$</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(3,584</w:t>
            </w:r>
          </w:p>
        </w:tc>
        <w:tc>
          <w:tcPr>
            <w:tcW w:w="110" w:type="dxa"/>
            <w:tcBorders/>
            <w:shd w:fill="FFFFFF" w:val="clear"/>
            <w:vAlign w:val="center"/>
          </w:tcPr>
          <w:p>
            <w:pPr>
              <w:pStyle w:val="TableContents"/>
              <w:bidi w:val="0"/>
              <w:spacing w:before="0" w:after="283"/>
              <w:ind w:left="0" w:right="0" w:hanging="0"/>
              <w:jc w:val="left"/>
              <w:rPr>
                <w:b/>
              </w:rPr>
            </w:pPr>
            <w:r>
              <w:rPr>
                <w:b/>
              </w:rPr>
              <w:t>)</w:t>
            </w:r>
            <w:bookmarkStart w:id="212" w:name="xdx_409_eus-gaap--StockIssuedDuringPerio"/>
            <w:bookmarkEnd w:id="212"/>
          </w:p>
        </w:tc>
      </w:tr>
      <w:tr>
        <w:trPr/>
        <w:tc>
          <w:tcPr>
            <w:tcW w:w="1460" w:type="dxa"/>
            <w:tcBorders/>
            <w:shd w:fill="CCEEFF" w:val="clear"/>
            <w:vAlign w:val="center"/>
          </w:tcPr>
          <w:p>
            <w:pPr>
              <w:pStyle w:val="TableContents"/>
              <w:bidi w:val="0"/>
              <w:spacing w:before="0" w:after="283"/>
              <w:jc w:val="left"/>
              <w:rPr/>
            </w:pPr>
            <w:r>
              <w:rPr/>
              <w:t>Common stock issued for services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213" w:name="xdx_988_eus-gaap--StockIssuedDuringPerio"/>
            <w:bookmarkEnd w:id="213"/>
          </w:p>
        </w:tc>
        <w:tc>
          <w:tcPr>
            <w:tcW w:w="1100" w:type="dxa"/>
            <w:tcBorders/>
            <w:shd w:fill="CCEEFF" w:val="clear"/>
            <w:vAlign w:val="center"/>
          </w:tcPr>
          <w:p>
            <w:pPr>
              <w:pStyle w:val="TableContents"/>
              <w:bidi w:val="0"/>
              <w:spacing w:before="0" w:after="283"/>
              <w:jc w:val="right"/>
              <w:rPr/>
            </w:pPr>
            <w:r>
              <w:rPr/>
              <w:t>40,000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20" w:type="dxa"/>
            <w:tcBorders/>
            <w:shd w:fill="CCEEFF" w:val="clear"/>
            <w:vAlign w:val="center"/>
          </w:tcPr>
          <w:p>
            <w:pPr>
              <w:pStyle w:val="TableContents"/>
              <w:bidi w:val="0"/>
              <w:spacing w:before="0" w:after="283"/>
              <w:jc w:val="right"/>
              <w:rPr/>
            </w:pPr>
            <w:r>
              <w:rPr>
                <w:rFonts w:ascii="Times New Roman;Times;Serif" w:hAnsi="Times New Roman;Times;Serif"/>
                <w:sz w:val="20"/>
              </w:rPr>
              <w:t>-</w:t>
            </w:r>
            <w:bookmarkStart w:id="214" w:name="xdx_F23_zKHOQRU9HIy9"/>
            <w:bookmarkEnd w:id="214"/>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5" w:type="dxa"/>
            <w:tcBorders/>
            <w:shd w:fill="CCEEFF" w:val="clear"/>
            <w:vAlign w:val="center"/>
          </w:tcPr>
          <w:p>
            <w:pPr>
              <w:pStyle w:val="TableContents"/>
              <w:bidi w:val="0"/>
              <w:spacing w:before="0" w:after="283"/>
              <w:jc w:val="left"/>
              <w:rPr/>
            </w:pPr>
            <w:r>
              <w:rPr/>
              <w:t> </w:t>
            </w:r>
          </w:p>
        </w:tc>
        <w:tc>
          <w:tcPr>
            <w:tcW w:w="1345" w:type="dxa"/>
            <w:tcBorders/>
            <w:shd w:fill="CCEEFF" w:val="clear"/>
            <w:vAlign w:val="center"/>
          </w:tcPr>
          <w:p>
            <w:pPr>
              <w:pStyle w:val="TableContents"/>
              <w:bidi w:val="0"/>
              <w:spacing w:before="0" w:after="283"/>
              <w:jc w:val="right"/>
              <w:rPr/>
            </w:pPr>
            <w:r>
              <w:rPr/>
              <w:t>155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left"/>
              <w:rPr/>
            </w:pPr>
            <w:r>
              <w:rPr/>
              <w:t> </w:t>
            </w:r>
          </w:p>
        </w:tc>
        <w:tc>
          <w:tcPr>
            <w:tcW w:w="132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8" w:type="dxa"/>
            <w:tcBorders/>
            <w:shd w:fill="CCEEFF" w:val="clear"/>
            <w:vAlign w:val="center"/>
          </w:tcPr>
          <w:p>
            <w:pPr>
              <w:pStyle w:val="TableContents"/>
              <w:bidi w:val="0"/>
              <w:spacing w:before="0" w:after="283"/>
              <w:jc w:val="left"/>
              <w:rPr/>
            </w:pPr>
            <w:r>
              <w:rPr/>
              <w:t> </w:t>
            </w:r>
          </w:p>
        </w:tc>
        <w:tc>
          <w:tcPr>
            <w:tcW w:w="1057"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155</w:t>
            </w:r>
          </w:p>
        </w:tc>
        <w:tc>
          <w:tcPr>
            <w:tcW w:w="110" w:type="dxa"/>
            <w:tcBorders/>
            <w:shd w:fill="CCEEFF" w:val="clear"/>
            <w:vAlign w:val="center"/>
          </w:tcPr>
          <w:p>
            <w:pPr>
              <w:pStyle w:val="TableContents"/>
              <w:bidi w:val="0"/>
              <w:spacing w:before="0" w:after="283"/>
              <w:ind w:left="0" w:right="0" w:hanging="0"/>
              <w:jc w:val="left"/>
              <w:rPr/>
            </w:pPr>
            <w:r>
              <w:rPr/>
              <w:t> </w:t>
            </w:r>
            <w:bookmarkStart w:id="215" w:name="xdx_407_eus-gaap--StockIssuedDuringPerio"/>
            <w:bookmarkEnd w:id="215"/>
          </w:p>
        </w:tc>
      </w:tr>
      <w:tr>
        <w:trPr/>
        <w:tc>
          <w:tcPr>
            <w:tcW w:w="1460" w:type="dxa"/>
            <w:tcBorders/>
            <w:shd w:fill="FFFFFF" w:val="clear"/>
            <w:vAlign w:val="center"/>
          </w:tcPr>
          <w:p>
            <w:pPr>
              <w:pStyle w:val="TableContents"/>
              <w:bidi w:val="0"/>
              <w:spacing w:before="0" w:after="283"/>
              <w:jc w:val="left"/>
              <w:rPr/>
            </w:pPr>
            <w:r>
              <w:rPr/>
              <w:t>Exercise of warrants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216" w:name="xdx_983_eus-gaap--StockIssuedDuringPerio"/>
            <w:bookmarkEnd w:id="216"/>
          </w:p>
        </w:tc>
        <w:tc>
          <w:tcPr>
            <w:tcW w:w="1100" w:type="dxa"/>
            <w:tcBorders/>
            <w:shd w:fill="FFFFFF" w:val="clear"/>
            <w:vAlign w:val="center"/>
          </w:tcPr>
          <w:p>
            <w:pPr>
              <w:pStyle w:val="TableContents"/>
              <w:bidi w:val="0"/>
              <w:spacing w:before="0" w:after="283"/>
              <w:jc w:val="right"/>
              <w:rPr/>
            </w:pPr>
            <w:r>
              <w:rPr/>
              <w:t>776,920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pPr>
            <w:r>
              <w:rPr/>
              <w:t>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5" w:type="dxa"/>
            <w:tcBorders/>
            <w:shd w:fill="FFFFFF" w:val="clear"/>
            <w:vAlign w:val="center"/>
          </w:tcPr>
          <w:p>
            <w:pPr>
              <w:pStyle w:val="TableContents"/>
              <w:bidi w:val="0"/>
              <w:spacing w:before="0" w:after="283"/>
              <w:jc w:val="left"/>
              <w:rPr/>
            </w:pPr>
            <w:r>
              <w:rPr/>
              <w:t> </w:t>
            </w:r>
          </w:p>
        </w:tc>
        <w:tc>
          <w:tcPr>
            <w:tcW w:w="1345" w:type="dxa"/>
            <w:tcBorders/>
            <w:shd w:fill="FFFFFF" w:val="clear"/>
            <w:vAlign w:val="center"/>
          </w:tcPr>
          <w:p>
            <w:pPr>
              <w:pStyle w:val="TableContents"/>
              <w:bidi w:val="0"/>
              <w:spacing w:before="0" w:after="283"/>
              <w:jc w:val="right"/>
              <w:rPr/>
            </w:pPr>
            <w:r>
              <w:rPr/>
              <w:t>(1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18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0" w:type="dxa"/>
            <w:tcBorders/>
            <w:shd w:fill="FFFFFF" w:val="clear"/>
            <w:vAlign w:val="center"/>
          </w:tcPr>
          <w:p>
            <w:pPr>
              <w:pStyle w:val="TableContents"/>
              <w:bidi w:val="0"/>
              <w:spacing w:before="0" w:after="283"/>
              <w:jc w:val="left"/>
              <w:rPr/>
            </w:pPr>
            <w:r>
              <w:rPr/>
              <w:t> </w:t>
            </w:r>
          </w:p>
        </w:tc>
        <w:tc>
          <w:tcPr>
            <w:tcW w:w="132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8" w:type="dxa"/>
            <w:tcBorders/>
            <w:shd w:fill="FFFFFF" w:val="clear"/>
            <w:vAlign w:val="center"/>
          </w:tcPr>
          <w:p>
            <w:pPr>
              <w:pStyle w:val="TableContents"/>
              <w:bidi w:val="0"/>
              <w:spacing w:before="0" w:after="283"/>
              <w:jc w:val="left"/>
              <w:rPr/>
            </w:pPr>
            <w:r>
              <w:rPr/>
              <w:t> </w:t>
            </w:r>
          </w:p>
        </w:tc>
        <w:tc>
          <w:tcPr>
            <w:tcW w:w="1057"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ind w:left="0" w:right="0" w:hanging="0"/>
              <w:jc w:val="left"/>
              <w:rPr/>
            </w:pPr>
            <w:r>
              <w:rPr/>
              <w:t> </w:t>
            </w:r>
            <w:bookmarkStart w:id="217" w:name="xdx_400_eus-gaap--StockIssuedDuringPerio"/>
            <w:bookmarkEnd w:id="217"/>
          </w:p>
        </w:tc>
      </w:tr>
      <w:tr>
        <w:trPr/>
        <w:tc>
          <w:tcPr>
            <w:tcW w:w="1460" w:type="dxa"/>
            <w:tcBorders/>
            <w:shd w:fill="CCEEFF" w:val="clear"/>
            <w:vAlign w:val="center"/>
          </w:tcPr>
          <w:p>
            <w:pPr>
              <w:pStyle w:val="TableContents"/>
              <w:bidi w:val="0"/>
              <w:spacing w:before="0" w:after="283"/>
              <w:jc w:val="left"/>
              <w:rPr/>
            </w:pPr>
            <w:r>
              <w:rPr/>
              <w:t>Stock based compensation</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2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5" w:type="dxa"/>
            <w:tcBorders/>
            <w:shd w:fill="CCEEFF" w:val="clear"/>
            <w:vAlign w:val="center"/>
          </w:tcPr>
          <w:p>
            <w:pPr>
              <w:pStyle w:val="TableContents"/>
              <w:bidi w:val="0"/>
              <w:spacing w:before="0" w:after="283"/>
              <w:jc w:val="left"/>
              <w:rPr/>
            </w:pPr>
            <w:r>
              <w:rPr/>
              <w:t> </w:t>
            </w:r>
          </w:p>
        </w:tc>
        <w:tc>
          <w:tcPr>
            <w:tcW w:w="1345" w:type="dxa"/>
            <w:tcBorders/>
            <w:shd w:fill="CCEEFF" w:val="clear"/>
            <w:vAlign w:val="center"/>
          </w:tcPr>
          <w:p>
            <w:pPr>
              <w:pStyle w:val="TableContents"/>
              <w:bidi w:val="0"/>
              <w:spacing w:before="0" w:after="283"/>
              <w:jc w:val="right"/>
              <w:rPr/>
            </w:pPr>
            <w:r>
              <w:rPr/>
              <w:t>842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left"/>
              <w:rPr/>
            </w:pPr>
            <w:r>
              <w:rPr/>
              <w:t> </w:t>
            </w:r>
          </w:p>
        </w:tc>
        <w:tc>
          <w:tcPr>
            <w:tcW w:w="132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8" w:type="dxa"/>
            <w:tcBorders/>
            <w:shd w:fill="CCEEFF" w:val="clear"/>
            <w:vAlign w:val="center"/>
          </w:tcPr>
          <w:p>
            <w:pPr>
              <w:pStyle w:val="TableContents"/>
              <w:bidi w:val="0"/>
              <w:spacing w:before="0" w:after="283"/>
              <w:jc w:val="left"/>
              <w:rPr/>
            </w:pPr>
            <w:r>
              <w:rPr/>
              <w:t> </w:t>
            </w:r>
          </w:p>
        </w:tc>
        <w:tc>
          <w:tcPr>
            <w:tcW w:w="1057"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842</w:t>
            </w:r>
          </w:p>
        </w:tc>
        <w:tc>
          <w:tcPr>
            <w:tcW w:w="110" w:type="dxa"/>
            <w:tcBorders/>
            <w:shd w:fill="CCEEFF" w:val="clear"/>
            <w:vAlign w:val="center"/>
          </w:tcPr>
          <w:p>
            <w:pPr>
              <w:pStyle w:val="TableContents"/>
              <w:bidi w:val="0"/>
              <w:spacing w:before="0" w:after="283"/>
              <w:ind w:left="0" w:right="0" w:hanging="0"/>
              <w:jc w:val="left"/>
              <w:rPr/>
            </w:pPr>
            <w:r>
              <w:rPr/>
              <w:t> </w:t>
            </w:r>
            <w:bookmarkStart w:id="218" w:name="xdx_40A_ecustom--StockIssuedDuringPeriod"/>
            <w:bookmarkEnd w:id="218"/>
          </w:p>
        </w:tc>
      </w:tr>
      <w:tr>
        <w:trPr/>
        <w:tc>
          <w:tcPr>
            <w:tcW w:w="1460" w:type="dxa"/>
            <w:tcBorders/>
            <w:shd w:fill="FFFFFF" w:val="clear"/>
            <w:vAlign w:val="center"/>
          </w:tcPr>
          <w:p>
            <w:pPr>
              <w:pStyle w:val="TableContents"/>
              <w:bidi w:val="0"/>
              <w:spacing w:before="0" w:after="283"/>
              <w:jc w:val="left"/>
              <w:rPr/>
            </w:pPr>
            <w:r>
              <w:rPr/>
              <w:t>Sale of common stock under at-the- market offering, net of transaction costs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219" w:name="xdx_988_ecustom--StockIssuedDuringPeriod"/>
            <w:bookmarkEnd w:id="219"/>
          </w:p>
        </w:tc>
        <w:tc>
          <w:tcPr>
            <w:tcW w:w="1100" w:type="dxa"/>
            <w:tcBorders/>
            <w:shd w:fill="FFFFFF" w:val="clear"/>
            <w:vAlign w:val="center"/>
          </w:tcPr>
          <w:p>
            <w:pPr>
              <w:pStyle w:val="TableContents"/>
              <w:bidi w:val="0"/>
              <w:spacing w:before="0" w:after="283"/>
              <w:jc w:val="right"/>
              <w:rPr/>
            </w:pPr>
            <w:r>
              <w:rPr/>
              <w:t>3,852,149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pPr>
            <w:r>
              <w:rPr/>
              <w:t>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5" w:type="dxa"/>
            <w:tcBorders/>
            <w:shd w:fill="FFFFFF" w:val="clear"/>
            <w:vAlign w:val="center"/>
          </w:tcPr>
          <w:p>
            <w:pPr>
              <w:pStyle w:val="TableContents"/>
              <w:bidi w:val="0"/>
              <w:spacing w:before="0" w:after="283"/>
              <w:jc w:val="left"/>
              <w:rPr/>
            </w:pPr>
            <w:r>
              <w:rPr/>
              <w:t> </w:t>
            </w:r>
          </w:p>
        </w:tc>
        <w:tc>
          <w:tcPr>
            <w:tcW w:w="1345" w:type="dxa"/>
            <w:tcBorders/>
            <w:shd w:fill="FFFFFF" w:val="clear"/>
            <w:vAlign w:val="center"/>
          </w:tcPr>
          <w:p>
            <w:pPr>
              <w:pStyle w:val="TableContents"/>
              <w:bidi w:val="0"/>
              <w:spacing w:before="0" w:after="283"/>
              <w:jc w:val="right"/>
              <w:rPr/>
            </w:pPr>
            <w:r>
              <w:rPr/>
              <w:t>13,568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18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0" w:type="dxa"/>
            <w:tcBorders/>
            <w:shd w:fill="FFFFFF" w:val="clear"/>
            <w:vAlign w:val="center"/>
          </w:tcPr>
          <w:p>
            <w:pPr>
              <w:pStyle w:val="TableContents"/>
              <w:bidi w:val="0"/>
              <w:spacing w:before="0" w:after="283"/>
              <w:jc w:val="left"/>
              <w:rPr/>
            </w:pPr>
            <w:r>
              <w:rPr/>
              <w:t> </w:t>
            </w:r>
          </w:p>
        </w:tc>
        <w:tc>
          <w:tcPr>
            <w:tcW w:w="132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8" w:type="dxa"/>
            <w:tcBorders/>
            <w:shd w:fill="FFFFFF" w:val="clear"/>
            <w:vAlign w:val="center"/>
          </w:tcPr>
          <w:p>
            <w:pPr>
              <w:pStyle w:val="TableContents"/>
              <w:bidi w:val="0"/>
              <w:spacing w:before="0" w:after="283"/>
              <w:jc w:val="left"/>
              <w:rPr/>
            </w:pPr>
            <w:r>
              <w:rPr/>
              <w:t> </w:t>
            </w:r>
          </w:p>
        </w:tc>
        <w:tc>
          <w:tcPr>
            <w:tcW w:w="1057"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13,572</w:t>
            </w:r>
          </w:p>
        </w:tc>
        <w:tc>
          <w:tcPr>
            <w:tcW w:w="110" w:type="dxa"/>
            <w:tcBorders/>
            <w:shd w:fill="FFFFFF" w:val="clear"/>
            <w:vAlign w:val="center"/>
          </w:tcPr>
          <w:p>
            <w:pPr>
              <w:pStyle w:val="TableContents"/>
              <w:bidi w:val="0"/>
              <w:spacing w:before="0" w:after="283"/>
              <w:ind w:left="0" w:right="0" w:hanging="0"/>
              <w:jc w:val="left"/>
              <w:rPr/>
            </w:pPr>
            <w:r>
              <w:rPr/>
              <w:t> </w:t>
            </w:r>
            <w:bookmarkStart w:id="220" w:name="xdx_407_eus-gaap--AdjustmentsToAdditiona"/>
            <w:bookmarkEnd w:id="220"/>
          </w:p>
        </w:tc>
      </w:tr>
      <w:tr>
        <w:trPr/>
        <w:tc>
          <w:tcPr>
            <w:tcW w:w="1460" w:type="dxa"/>
            <w:tcBorders/>
            <w:shd w:fill="CCEEFF" w:val="clear"/>
            <w:vAlign w:val="center"/>
          </w:tcPr>
          <w:p>
            <w:pPr>
              <w:pStyle w:val="TableContents"/>
              <w:bidi w:val="0"/>
              <w:spacing w:before="0" w:after="283"/>
              <w:jc w:val="left"/>
              <w:rPr/>
            </w:pPr>
            <w:r>
              <w:rPr/>
              <w:t>Preferred stock dividend</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2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5" w:type="dxa"/>
            <w:tcBorders/>
            <w:shd w:fill="CCEEFF" w:val="clear"/>
            <w:vAlign w:val="center"/>
          </w:tcPr>
          <w:p>
            <w:pPr>
              <w:pStyle w:val="TableContents"/>
              <w:bidi w:val="0"/>
              <w:spacing w:before="0" w:after="283"/>
              <w:jc w:val="left"/>
              <w:rPr/>
            </w:pPr>
            <w:r>
              <w:rPr/>
              <w:t> </w:t>
            </w:r>
          </w:p>
        </w:tc>
        <w:tc>
          <w:tcPr>
            <w:tcW w:w="1345" w:type="dxa"/>
            <w:tcBorders/>
            <w:shd w:fill="CCEEFF" w:val="clear"/>
            <w:vAlign w:val="center"/>
          </w:tcPr>
          <w:p>
            <w:pPr>
              <w:pStyle w:val="TableContents"/>
              <w:bidi w:val="0"/>
              <w:spacing w:before="0" w:after="283"/>
              <w:jc w:val="right"/>
              <w:rPr/>
            </w:pPr>
            <w:r>
              <w:rPr/>
              <w:t>(2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left"/>
              <w:rPr/>
            </w:pPr>
            <w:r>
              <w:rPr/>
              <w:t> </w:t>
            </w:r>
          </w:p>
        </w:tc>
        <w:tc>
          <w:tcPr>
            <w:tcW w:w="132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8" w:type="dxa"/>
            <w:tcBorders/>
            <w:shd w:fill="CCEEFF" w:val="clear"/>
            <w:vAlign w:val="center"/>
          </w:tcPr>
          <w:p>
            <w:pPr>
              <w:pStyle w:val="TableContents"/>
              <w:bidi w:val="0"/>
              <w:spacing w:before="0" w:after="283"/>
              <w:jc w:val="left"/>
              <w:rPr/>
            </w:pPr>
            <w:r>
              <w:rPr/>
              <w:t> </w:t>
            </w:r>
          </w:p>
        </w:tc>
        <w:tc>
          <w:tcPr>
            <w:tcW w:w="1057"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(2</w:t>
            </w:r>
          </w:p>
        </w:tc>
        <w:tc>
          <w:tcPr>
            <w:tcW w:w="110" w:type="dxa"/>
            <w:tcBorders/>
            <w:shd w:fill="CCEEFF" w:val="clear"/>
            <w:vAlign w:val="center"/>
          </w:tcPr>
          <w:p>
            <w:pPr>
              <w:pStyle w:val="TableContents"/>
              <w:bidi w:val="0"/>
              <w:spacing w:before="0" w:after="283"/>
              <w:ind w:left="0" w:right="0" w:hanging="0"/>
              <w:jc w:val="left"/>
              <w:rPr/>
            </w:pPr>
            <w:r>
              <w:rPr/>
              <w:t>)</w:t>
            </w:r>
            <w:bookmarkStart w:id="221" w:name="xdx_403_ecustom--OtherComprehensiveIncom"/>
            <w:bookmarkEnd w:id="221"/>
          </w:p>
        </w:tc>
      </w:tr>
      <w:tr>
        <w:trPr/>
        <w:tc>
          <w:tcPr>
            <w:tcW w:w="1460" w:type="dxa"/>
            <w:tcBorders/>
            <w:shd w:fill="FFFFFF" w:val="clear"/>
            <w:vAlign w:val="center"/>
          </w:tcPr>
          <w:p>
            <w:pPr>
              <w:pStyle w:val="TableContents"/>
              <w:bidi w:val="0"/>
              <w:spacing w:before="0" w:after="283"/>
              <w:jc w:val="left"/>
              <w:rPr/>
            </w:pPr>
            <w:r>
              <w:rPr/>
              <w:t>Other comprehensive loss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5" w:type="dxa"/>
            <w:tcBorders/>
            <w:shd w:fill="FFFFFF" w:val="clear"/>
            <w:vAlign w:val="center"/>
          </w:tcPr>
          <w:p>
            <w:pPr>
              <w:pStyle w:val="TableContents"/>
              <w:bidi w:val="0"/>
              <w:spacing w:before="0" w:after="283"/>
              <w:jc w:val="left"/>
              <w:rPr/>
            </w:pPr>
            <w:r>
              <w:rPr/>
              <w:t> </w:t>
            </w:r>
          </w:p>
        </w:tc>
        <w:tc>
          <w:tcPr>
            <w:tcW w:w="134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18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0" w:type="dxa"/>
            <w:tcBorders/>
            <w:shd w:fill="FFFFFF" w:val="clear"/>
            <w:vAlign w:val="center"/>
          </w:tcPr>
          <w:p>
            <w:pPr>
              <w:pStyle w:val="TableContents"/>
              <w:bidi w:val="0"/>
              <w:spacing w:before="0" w:after="283"/>
              <w:jc w:val="left"/>
              <w:rPr/>
            </w:pPr>
            <w:r>
              <w:rPr/>
              <w:t> </w:t>
            </w:r>
          </w:p>
        </w:tc>
        <w:tc>
          <w:tcPr>
            <w:tcW w:w="1320" w:type="dxa"/>
            <w:tcBorders/>
            <w:shd w:fill="FFFFFF" w:val="clear"/>
            <w:vAlign w:val="center"/>
          </w:tcPr>
          <w:p>
            <w:pPr>
              <w:pStyle w:val="TableContents"/>
              <w:bidi w:val="0"/>
              <w:spacing w:before="0" w:after="283"/>
              <w:jc w:val="right"/>
              <w:rPr/>
            </w:pPr>
            <w:r>
              <w:rPr/>
              <w:t>(2,325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568" w:type="dxa"/>
            <w:tcBorders/>
            <w:shd w:fill="FFFFFF" w:val="clear"/>
            <w:vAlign w:val="center"/>
          </w:tcPr>
          <w:p>
            <w:pPr>
              <w:pStyle w:val="TableContents"/>
              <w:bidi w:val="0"/>
              <w:spacing w:before="0" w:after="283"/>
              <w:jc w:val="left"/>
              <w:rPr/>
            </w:pPr>
            <w:r>
              <w:rPr/>
              <w:t> </w:t>
            </w:r>
          </w:p>
        </w:tc>
        <w:tc>
          <w:tcPr>
            <w:tcW w:w="1057"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(2,325</w:t>
            </w:r>
          </w:p>
        </w:tc>
        <w:tc>
          <w:tcPr>
            <w:tcW w:w="110" w:type="dxa"/>
            <w:tcBorders/>
            <w:shd w:fill="FFFFFF" w:val="clear"/>
            <w:vAlign w:val="center"/>
          </w:tcPr>
          <w:p>
            <w:pPr>
              <w:pStyle w:val="TableContents"/>
              <w:bidi w:val="0"/>
              <w:spacing w:before="0" w:after="283"/>
              <w:ind w:left="0" w:right="0" w:hanging="0"/>
              <w:jc w:val="left"/>
              <w:rPr/>
            </w:pPr>
            <w:r>
              <w:rPr/>
              <w:t>)</w:t>
            </w:r>
            <w:bookmarkStart w:id="222" w:name="xdx_40E_ecustom--OtherComprehensiveIncom"/>
            <w:bookmarkEnd w:id="222"/>
          </w:p>
        </w:tc>
      </w:tr>
      <w:tr>
        <w:trPr/>
        <w:tc>
          <w:tcPr>
            <w:tcW w:w="1460" w:type="dxa"/>
            <w:tcBorders/>
            <w:shd w:fill="FFFFFF" w:val="clear"/>
            <w:vAlign w:val="center"/>
          </w:tcPr>
          <w:p>
            <w:pPr>
              <w:pStyle w:val="TableContents"/>
              <w:bidi w:val="0"/>
              <w:spacing w:before="0" w:after="283"/>
              <w:jc w:val="left"/>
              <w:rPr/>
            </w:pPr>
            <w:r>
              <w:rPr/>
              <w:t>Other comprehensive income (loss)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5" w:type="dxa"/>
            <w:tcBorders/>
            <w:shd w:fill="FFFFFF" w:val="clear"/>
            <w:vAlign w:val="center"/>
          </w:tcPr>
          <w:p>
            <w:pPr>
              <w:pStyle w:val="TableContents"/>
              <w:bidi w:val="0"/>
              <w:spacing w:before="0" w:after="283"/>
              <w:jc w:val="left"/>
              <w:rPr/>
            </w:pPr>
            <w:r>
              <w:rPr/>
              <w:t> </w:t>
            </w:r>
          </w:p>
        </w:tc>
        <w:tc>
          <w:tcPr>
            <w:tcW w:w="134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18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0" w:type="dxa"/>
            <w:tcBorders/>
            <w:shd w:fill="FFFFFF" w:val="clear"/>
            <w:vAlign w:val="center"/>
          </w:tcPr>
          <w:p>
            <w:pPr>
              <w:pStyle w:val="TableContents"/>
              <w:bidi w:val="0"/>
              <w:spacing w:before="0" w:after="283"/>
              <w:jc w:val="left"/>
              <w:rPr/>
            </w:pPr>
            <w:r>
              <w:rPr/>
              <w:t> </w:t>
            </w:r>
          </w:p>
        </w:tc>
        <w:tc>
          <w:tcPr>
            <w:tcW w:w="1320" w:type="dxa"/>
            <w:tcBorders/>
            <w:shd w:fill="FFFFFF" w:val="clear"/>
            <w:vAlign w:val="center"/>
          </w:tcPr>
          <w:p>
            <w:pPr>
              <w:pStyle w:val="TableContents"/>
              <w:bidi w:val="0"/>
              <w:spacing w:before="0" w:after="283"/>
              <w:jc w:val="right"/>
              <w:rPr/>
            </w:pPr>
            <w:r>
              <w:rPr/>
              <w:t>(2,325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568" w:type="dxa"/>
            <w:tcBorders/>
            <w:shd w:fill="FFFFFF" w:val="clear"/>
            <w:vAlign w:val="center"/>
          </w:tcPr>
          <w:p>
            <w:pPr>
              <w:pStyle w:val="TableContents"/>
              <w:bidi w:val="0"/>
              <w:spacing w:before="0" w:after="283"/>
              <w:jc w:val="left"/>
              <w:rPr/>
            </w:pPr>
            <w:r>
              <w:rPr/>
              <w:t> </w:t>
            </w:r>
          </w:p>
        </w:tc>
        <w:tc>
          <w:tcPr>
            <w:tcW w:w="1057"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(2,325</w:t>
            </w:r>
          </w:p>
        </w:tc>
        <w:tc>
          <w:tcPr>
            <w:tcW w:w="110" w:type="dxa"/>
            <w:tcBorders/>
            <w:shd w:fill="FFFFFF" w:val="clear"/>
            <w:vAlign w:val="center"/>
          </w:tcPr>
          <w:p>
            <w:pPr>
              <w:pStyle w:val="TableContents"/>
              <w:bidi w:val="0"/>
              <w:spacing w:before="0" w:after="283"/>
              <w:ind w:left="0" w:right="0" w:hanging="0"/>
              <w:jc w:val="left"/>
              <w:rPr/>
            </w:pPr>
            <w:r>
              <w:rPr/>
              <w:t>)</w:t>
            </w:r>
            <w:bookmarkStart w:id="223" w:name="xdx_40D_eus-gaap--ProfitLoss_zKK5r0T93t8"/>
            <w:bookmarkEnd w:id="223"/>
          </w:p>
        </w:tc>
      </w:tr>
      <w:tr>
        <w:trPr/>
        <w:tc>
          <w:tcPr>
            <w:tcW w:w="1460" w:type="dxa"/>
            <w:tcBorders/>
            <w:shd w:fill="CCEEFF" w:val="clear"/>
            <w:vAlign w:val="center"/>
          </w:tcPr>
          <w:p>
            <w:pPr>
              <w:pStyle w:val="TableContents"/>
              <w:bidi w:val="0"/>
              <w:spacing w:before="0" w:after="283"/>
              <w:jc w:val="left"/>
              <w:rPr/>
            </w:pPr>
            <w:r>
              <w:rPr/>
              <w:t>Net loss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2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45"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82" w:type="dxa"/>
            <w:tcBorders>
              <w:bottom w:val="single" w:sz="8" w:space="0" w:color="000000"/>
            </w:tcBorders>
            <w:shd w:fill="CCEEFF" w:val="clear"/>
            <w:tcMar>
              <w:bottom w:w="28" w:type="dxa"/>
            </w:tcMar>
            <w:vAlign w:val="center"/>
          </w:tcPr>
          <w:p>
            <w:pPr>
              <w:pStyle w:val="TableContents"/>
              <w:bidi w:val="0"/>
              <w:spacing w:before="0" w:after="283"/>
              <w:jc w:val="right"/>
              <w:rPr/>
            </w:pPr>
            <w:r>
              <w:rPr/>
              <w:t>(15,584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9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2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7"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(15,584</w:t>
            </w:r>
          </w:p>
        </w:tc>
        <w:tc>
          <w:tcPr>
            <w:tcW w:w="110" w:type="dxa"/>
            <w:tcBorders/>
            <w:shd w:fill="CCEEFF" w:val="clear"/>
            <w:vAlign w:val="center"/>
          </w:tcPr>
          <w:p>
            <w:pPr>
              <w:pStyle w:val="TableContents"/>
              <w:bidi w:val="0"/>
              <w:spacing w:before="0" w:after="283"/>
              <w:ind w:left="0" w:right="0" w:hanging="0"/>
              <w:jc w:val="left"/>
              <w:rPr/>
            </w:pPr>
            <w:r>
              <w:rPr/>
              <w:t>)</w:t>
            </w:r>
            <w:bookmarkStart w:id="224" w:name="xdx_434_c20250701__20250930_eus-gaap--St"/>
            <w:bookmarkEnd w:id="224"/>
          </w:p>
        </w:tc>
      </w:tr>
      <w:tr>
        <w:trPr/>
        <w:tc>
          <w:tcPr>
            <w:tcW w:w="1460" w:type="dxa"/>
            <w:tcBorders/>
            <w:shd w:fill="FFFFFF" w:val="clear"/>
            <w:vAlign w:val="center"/>
          </w:tcPr>
          <w:p>
            <w:pPr>
              <w:pStyle w:val="TableContents"/>
              <w:bidi w:val="0"/>
              <w:spacing w:before="0" w:after="283"/>
              <w:jc w:val="left"/>
              <w:rPr>
                <w:b/>
              </w:rPr>
            </w:pPr>
            <w:r>
              <w:rPr>
                <w:b/>
              </w:rPr>
              <w:t>Balance, September 30, 2025 (Unaudited)</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225" w:name="xdx_98C_eus-gaap--SharesOutstanding_iE_p"/>
            <w:bookmarkEnd w:id="225"/>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35,462,204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w:t>
            </w:r>
          </w:p>
        </w:tc>
        <w:tc>
          <w:tcPr>
            <w:tcW w:w="920" w:type="dxa"/>
            <w:tcBorders>
              <w:bottom w:val="single" w:sz="8" w:space="0" w:color="000000"/>
            </w:tcBorders>
            <w:shd w:fill="FFFFFF" w:val="clear"/>
            <w:tcMar>
              <w:bottom w:w="28" w:type="dxa"/>
            </w:tcMar>
            <w:vAlign w:val="center"/>
          </w:tcPr>
          <w:p>
            <w:pPr>
              <w:pStyle w:val="TableContents"/>
              <w:bidi w:val="0"/>
              <w:spacing w:before="0" w:after="283"/>
              <w:jc w:val="right"/>
              <w:rPr/>
            </w:pPr>
            <w:r>
              <w:rPr/>
              <w:t>36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5" w:type="dxa"/>
            <w:tcBorders>
              <w:bottom w:val="single" w:sz="8" w:space="0" w:color="000000"/>
            </w:tcBorders>
            <w:shd w:fill="FFFFFF" w:val="clear"/>
            <w:tcMar>
              <w:bottom w:w="28" w:type="dxa"/>
            </w:tcMar>
            <w:vAlign w:val="center"/>
          </w:tcPr>
          <w:p>
            <w:pPr>
              <w:pStyle w:val="TableContents"/>
              <w:bidi w:val="0"/>
              <w:spacing w:before="0" w:after="283"/>
              <w:jc w:val="left"/>
              <w:rPr/>
            </w:pPr>
            <w:r>
              <w:rPr/>
              <w:t>$</w:t>
            </w:r>
          </w:p>
        </w:tc>
        <w:tc>
          <w:tcPr>
            <w:tcW w:w="1345" w:type="dxa"/>
            <w:tcBorders>
              <w:bottom w:val="single" w:sz="8" w:space="0" w:color="000000"/>
            </w:tcBorders>
            <w:shd w:fill="FFFFFF" w:val="clear"/>
            <w:tcMar>
              <w:bottom w:w="28" w:type="dxa"/>
            </w:tcMar>
            <w:vAlign w:val="center"/>
          </w:tcPr>
          <w:p>
            <w:pPr>
              <w:pStyle w:val="TableContents"/>
              <w:bidi w:val="0"/>
              <w:spacing w:before="0" w:after="283"/>
              <w:jc w:val="right"/>
              <w:rPr/>
            </w:pPr>
            <w:r>
              <w:rPr/>
              <w:t>287,905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bottom w:val="single" w:sz="8" w:space="0" w:color="000000"/>
            </w:tcBorders>
            <w:shd w:fill="FFFFFF" w:val="clear"/>
            <w:tcMar>
              <w:bottom w:w="28" w:type="dxa"/>
            </w:tcMar>
            <w:vAlign w:val="center"/>
          </w:tcPr>
          <w:p>
            <w:pPr>
              <w:pStyle w:val="TableContents"/>
              <w:bidi w:val="0"/>
              <w:spacing w:before="0" w:after="283"/>
              <w:jc w:val="left"/>
              <w:rPr/>
            </w:pPr>
            <w:r>
              <w:rPr/>
              <w:t>$</w:t>
            </w:r>
          </w:p>
        </w:tc>
        <w:tc>
          <w:tcPr>
            <w:tcW w:w="1182" w:type="dxa"/>
            <w:tcBorders>
              <w:bottom w:val="single" w:sz="8" w:space="0" w:color="000000"/>
            </w:tcBorders>
            <w:shd w:fill="FFFFFF" w:val="clear"/>
            <w:tcMar>
              <w:bottom w:w="28" w:type="dxa"/>
            </w:tcMar>
            <w:vAlign w:val="center"/>
          </w:tcPr>
          <w:p>
            <w:pPr>
              <w:pStyle w:val="TableContents"/>
              <w:bidi w:val="0"/>
              <w:spacing w:before="0" w:after="283"/>
              <w:jc w:val="right"/>
              <w:rPr/>
            </w:pPr>
            <w:r>
              <w:rPr/>
              <w:t>(294,113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90" w:type="dxa"/>
            <w:tcBorders>
              <w:bottom w:val="single" w:sz="8" w:space="0" w:color="000000"/>
            </w:tcBorders>
            <w:shd w:fill="FFFFFF" w:val="clear"/>
            <w:tcMar>
              <w:bottom w:w="28" w:type="dxa"/>
            </w:tcMar>
            <w:vAlign w:val="center"/>
          </w:tcPr>
          <w:p>
            <w:pPr>
              <w:pStyle w:val="TableContents"/>
              <w:bidi w:val="0"/>
              <w:spacing w:before="0" w:after="283"/>
              <w:jc w:val="left"/>
              <w:rPr/>
            </w:pPr>
            <w:r>
              <w:rPr/>
              <w:t>$</w:t>
            </w:r>
          </w:p>
        </w:tc>
        <w:tc>
          <w:tcPr>
            <w:tcW w:w="1320" w:type="dxa"/>
            <w:tcBorders>
              <w:bottom w:val="single" w:sz="8" w:space="0" w:color="000000"/>
            </w:tcBorders>
            <w:shd w:fill="FFFFFF" w:val="clear"/>
            <w:tcMar>
              <w:bottom w:w="28" w:type="dxa"/>
            </w:tcMar>
            <w:vAlign w:val="center"/>
          </w:tcPr>
          <w:p>
            <w:pPr>
              <w:pStyle w:val="TableContents"/>
              <w:bidi w:val="0"/>
              <w:spacing w:before="0" w:after="283"/>
              <w:jc w:val="right"/>
              <w:rPr/>
            </w:pPr>
            <w:r>
              <w:rPr/>
              <w:t>(787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568" w:type="dxa"/>
            <w:tcBorders>
              <w:bottom w:val="single" w:sz="8" w:space="0" w:color="000000"/>
            </w:tcBorders>
            <w:shd w:fill="FFFFFF" w:val="clear"/>
            <w:tcMar>
              <w:bottom w:w="28" w:type="dxa"/>
            </w:tcMar>
            <w:vAlign w:val="center"/>
          </w:tcPr>
          <w:p>
            <w:pPr>
              <w:pStyle w:val="TableContents"/>
              <w:bidi w:val="0"/>
              <w:spacing w:before="0" w:after="283"/>
              <w:jc w:val="left"/>
              <w:rPr/>
            </w:pPr>
            <w:r>
              <w:rPr/>
              <w:t>$</w:t>
            </w:r>
          </w:p>
        </w:tc>
        <w:tc>
          <w:tcPr>
            <w:tcW w:w="1057" w:type="dxa"/>
            <w:tcBorders>
              <w:bottom w:val="single" w:sz="8" w:space="0" w:color="000000"/>
            </w:tcBorders>
            <w:shd w:fill="FFFFFF" w:val="clear"/>
            <w:tcMar>
              <w:bottom w:w="28" w:type="dxa"/>
            </w:tcMar>
            <w:vAlign w:val="center"/>
          </w:tcPr>
          <w:p>
            <w:pPr>
              <w:pStyle w:val="TableContents"/>
              <w:bidi w:val="0"/>
              <w:spacing w:before="0" w:after="283"/>
              <w:jc w:val="right"/>
              <w:rPr/>
            </w:pPr>
            <w:r>
              <w:rPr/>
              <w:t>33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pPr>
            <w:r>
              <w:rPr/>
              <w:t>(6,926</w:t>
            </w:r>
          </w:p>
        </w:tc>
        <w:tc>
          <w:tcPr>
            <w:tcW w:w="110" w:type="dxa"/>
            <w:tcBorders/>
            <w:shd w:fill="FFFFFF" w:val="clear"/>
            <w:vAlign w:val="center"/>
          </w:tcPr>
          <w:p>
            <w:pPr>
              <w:pStyle w:val="TableContents"/>
              <w:bidi w:val="0"/>
              <w:spacing w:before="0" w:after="283"/>
              <w:jc w:val="left"/>
              <w:rPr/>
            </w:pPr>
            <w:r>
              <w:rPr/>
              <w:t>)</w:t>
            </w:r>
          </w:p>
        </w:tc>
      </w:tr>
    </w:tbl>
    <w:p>
      <w:pPr>
        <w:pStyle w:val="TextBody"/>
        <w:bidi w:val="0"/>
        <w:spacing w:before="0" w:after="0"/>
        <w:ind w:left="0" w:right="0" w:hanging="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5</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40"/>
        <w:gridCol w:w="60"/>
        <w:gridCol w:w="60"/>
        <w:gridCol w:w="1100"/>
        <w:gridCol w:w="60"/>
        <w:gridCol w:w="60"/>
        <w:gridCol w:w="301"/>
        <w:gridCol w:w="559"/>
        <w:gridCol w:w="60"/>
        <w:gridCol w:w="60"/>
        <w:gridCol w:w="163"/>
        <w:gridCol w:w="937"/>
        <w:gridCol w:w="95"/>
        <w:gridCol w:w="60"/>
        <w:gridCol w:w="188"/>
        <w:gridCol w:w="1182"/>
        <w:gridCol w:w="95"/>
        <w:gridCol w:w="60"/>
        <w:gridCol w:w="477"/>
        <w:gridCol w:w="1148"/>
        <w:gridCol w:w="95"/>
        <w:gridCol w:w="60"/>
        <w:gridCol w:w="140"/>
        <w:gridCol w:w="635"/>
        <w:gridCol w:w="110"/>
      </w:tblGrid>
      <w:tr>
        <w:trPr/>
        <w:tc>
          <w:tcPr>
            <w:tcW w:w="24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226" w:name="xdx_4B1_us-gaap--StatementEquityComponen"/>
            <w:bookmarkEnd w:id="226"/>
          </w:p>
        </w:tc>
        <w:tc>
          <w:tcPr>
            <w:tcW w:w="8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227" w:name="xdx_4B0_us-gaap--StatementEquityComponen"/>
            <w:bookmarkEnd w:id="227"/>
          </w:p>
        </w:tc>
        <w:tc>
          <w:tcPr>
            <w:tcW w:w="11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Capital</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228" w:name="xdx_4B2_us-gaap--StatementEquityComponen"/>
            <w:bookmarkEnd w:id="228"/>
          </w:p>
        </w:tc>
        <w:tc>
          <w:tcPr>
            <w:tcW w:w="137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Deficit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229" w:name="xdx_4B9_us-gaap--StatementEquityComponen"/>
            <w:bookmarkEnd w:id="229"/>
          </w:p>
        </w:tc>
        <w:tc>
          <w:tcPr>
            <w:tcW w:w="162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Interest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230" w:name="xdx_4B3_zonX7gI1CAjk"/>
            <w:bookmarkEnd w:id="230"/>
          </w:p>
        </w:tc>
        <w:tc>
          <w:tcPr>
            <w:tcW w:w="77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Total</w:t>
            </w:r>
          </w:p>
        </w:tc>
        <w:tc>
          <w:tcPr>
            <w:tcW w:w="110" w:type="dxa"/>
            <w:tcBorders/>
            <w:vAlign w:val="center"/>
          </w:tcPr>
          <w:p>
            <w:pPr>
              <w:pStyle w:val="TableContents"/>
              <w:bidi w:val="0"/>
              <w:spacing w:before="0" w:after="283"/>
              <w:jc w:val="left"/>
              <w:rPr/>
            </w:pPr>
            <w:r>
              <w:rPr/>
              <w:t> </w:t>
            </w:r>
          </w:p>
        </w:tc>
      </w:tr>
      <w:tr>
        <w:trPr/>
        <w:tc>
          <w:tcPr>
            <w:tcW w:w="24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4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Common stock</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vAlign w:val="center"/>
          </w:tcPr>
          <w:p>
            <w:pPr>
              <w:pStyle w:val="TableContents"/>
              <w:bidi w:val="0"/>
              <w:spacing w:before="0" w:after="283"/>
              <w:jc w:val="center"/>
              <w:rPr>
                <w:b/>
              </w:rPr>
            </w:pPr>
            <w:r>
              <w:rPr>
                <w:b/>
              </w:rPr>
              <w:t>Additional</w:t>
              <w:br/>
              <w:t>Paid in</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vAlign w:val="center"/>
          </w:tcPr>
          <w:p>
            <w:pPr>
              <w:pStyle w:val="TableContents"/>
              <w:bidi w:val="0"/>
              <w:spacing w:before="0" w:after="283"/>
              <w:jc w:val="center"/>
              <w:rPr>
                <w:b/>
              </w:rPr>
            </w:pPr>
            <w:r>
              <w:rPr>
                <w:b/>
              </w:rPr>
              <w:t>Accumulated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25" w:type="dxa"/>
            <w:gridSpan w:val="2"/>
            <w:tcBorders/>
            <w:vAlign w:val="center"/>
          </w:tcPr>
          <w:p>
            <w:pPr>
              <w:pStyle w:val="TableContents"/>
              <w:bidi w:val="0"/>
              <w:spacing w:before="0" w:after="283"/>
              <w:jc w:val="center"/>
              <w:rPr>
                <w:b/>
              </w:rPr>
            </w:pPr>
            <w:r>
              <w:rPr>
                <w:b/>
              </w:rPr>
              <w:t>Non-controlling</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5" w:type="dxa"/>
            <w:gridSpan w:val="2"/>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r>
      <w:tr>
        <w:trPr/>
        <w:tc>
          <w:tcPr>
            <w:tcW w:w="24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Capital</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Deficit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2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Interest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Total</w:t>
            </w:r>
          </w:p>
        </w:tc>
        <w:tc>
          <w:tcPr>
            <w:tcW w:w="110" w:type="dxa"/>
            <w:tcBorders/>
            <w:vAlign w:val="center"/>
          </w:tcPr>
          <w:p>
            <w:pPr>
              <w:pStyle w:val="TableContents"/>
              <w:bidi w:val="0"/>
              <w:spacing w:before="0" w:after="283"/>
              <w:ind w:left="0" w:right="0" w:hanging="0"/>
              <w:jc w:val="left"/>
              <w:rPr/>
            </w:pPr>
            <w:r>
              <w:rPr/>
              <w:t> </w:t>
            </w:r>
            <w:bookmarkStart w:id="231" w:name="xdx_43B_c20240101__20240331_eus-gaap--St"/>
            <w:bookmarkEnd w:id="231"/>
          </w:p>
        </w:tc>
      </w:tr>
      <w:tr>
        <w:trPr/>
        <w:tc>
          <w:tcPr>
            <w:tcW w:w="2440" w:type="dxa"/>
            <w:tcBorders/>
            <w:shd w:fill="CCEEFF" w:val="clear"/>
            <w:vAlign w:val="center"/>
          </w:tcPr>
          <w:p>
            <w:pPr>
              <w:pStyle w:val="TableContents"/>
              <w:bidi w:val="0"/>
              <w:spacing w:before="0" w:after="283"/>
              <w:jc w:val="left"/>
              <w:rPr>
                <w:b/>
              </w:rPr>
            </w:pPr>
            <w:r>
              <w:rPr>
                <w:b/>
              </w:rPr>
              <w:t>Balance, December 31, 2023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232" w:name="xdx_988_eus-gaap--SharesOutstanding_iS_p"/>
            <w:bookmarkEnd w:id="232"/>
          </w:p>
        </w:tc>
        <w:tc>
          <w:tcPr>
            <w:tcW w:w="1100" w:type="dxa"/>
            <w:tcBorders/>
            <w:shd w:fill="CCEEFF" w:val="clear"/>
            <w:vAlign w:val="center"/>
          </w:tcPr>
          <w:p>
            <w:pPr>
              <w:pStyle w:val="TableContents"/>
              <w:bidi w:val="0"/>
              <w:spacing w:before="0" w:after="283"/>
              <w:jc w:val="right"/>
              <w:rPr/>
            </w:pPr>
            <w:r>
              <w:rPr/>
              <w:t>9,040,043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w:t>
            </w:r>
          </w:p>
        </w:tc>
        <w:tc>
          <w:tcPr>
            <w:tcW w:w="559" w:type="dxa"/>
            <w:tcBorders/>
            <w:shd w:fill="CCEEFF" w:val="clear"/>
            <w:vAlign w:val="center"/>
          </w:tcPr>
          <w:p>
            <w:pPr>
              <w:pStyle w:val="TableContents"/>
              <w:bidi w:val="0"/>
              <w:spacing w:before="0" w:after="283"/>
              <w:jc w:val="right"/>
              <w:rPr/>
            </w:pPr>
            <w:r>
              <w:rPr/>
              <w:t>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w:t>
            </w:r>
          </w:p>
        </w:tc>
        <w:tc>
          <w:tcPr>
            <w:tcW w:w="937" w:type="dxa"/>
            <w:tcBorders/>
            <w:shd w:fill="CCEEFF" w:val="clear"/>
            <w:vAlign w:val="center"/>
          </w:tcPr>
          <w:p>
            <w:pPr>
              <w:pStyle w:val="TableContents"/>
              <w:bidi w:val="0"/>
              <w:spacing w:before="0" w:after="283"/>
              <w:jc w:val="right"/>
              <w:rPr/>
            </w:pPr>
            <w:r>
              <w:rPr/>
              <w:t>241,988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w:t>
            </w:r>
          </w:p>
        </w:tc>
        <w:tc>
          <w:tcPr>
            <w:tcW w:w="1182" w:type="dxa"/>
            <w:tcBorders/>
            <w:shd w:fill="CCEEFF" w:val="clear"/>
            <w:vAlign w:val="center"/>
          </w:tcPr>
          <w:p>
            <w:pPr>
              <w:pStyle w:val="TableContents"/>
              <w:bidi w:val="0"/>
              <w:spacing w:before="0" w:after="283"/>
              <w:jc w:val="right"/>
              <w:rPr/>
            </w:pPr>
            <w:r>
              <w:rPr/>
              <w:t>(245,015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477" w:type="dxa"/>
            <w:tcBorders/>
            <w:shd w:fill="CCEEFF" w:val="clear"/>
            <w:vAlign w:val="center"/>
          </w:tcPr>
          <w:p>
            <w:pPr>
              <w:pStyle w:val="TableContents"/>
              <w:bidi w:val="0"/>
              <w:spacing w:before="0" w:after="283"/>
              <w:jc w:val="left"/>
              <w:rPr/>
            </w:pPr>
            <w:r>
              <w:rPr/>
              <w:t>$</w:t>
            </w:r>
          </w:p>
        </w:tc>
        <w:tc>
          <w:tcPr>
            <w:tcW w:w="1148" w:type="dxa"/>
            <w:tcBorders/>
            <w:shd w:fill="CCEEFF" w:val="clear"/>
            <w:vAlign w:val="center"/>
          </w:tcPr>
          <w:p>
            <w:pPr>
              <w:pStyle w:val="TableContents"/>
              <w:bidi w:val="0"/>
              <w:spacing w:before="0" w:after="283"/>
              <w:jc w:val="right"/>
              <w:rPr/>
            </w:pPr>
            <w:r>
              <w:rPr/>
              <w:t>26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35" w:type="dxa"/>
            <w:tcBorders/>
            <w:shd w:fill="CCEEFF" w:val="clear"/>
            <w:vAlign w:val="center"/>
          </w:tcPr>
          <w:p>
            <w:pPr>
              <w:pStyle w:val="TableContents"/>
              <w:bidi w:val="0"/>
              <w:spacing w:before="0" w:after="283"/>
              <w:jc w:val="right"/>
              <w:rPr/>
            </w:pPr>
            <w:r>
              <w:rPr/>
              <w:t>(2,992</w:t>
            </w:r>
          </w:p>
        </w:tc>
        <w:tc>
          <w:tcPr>
            <w:tcW w:w="110" w:type="dxa"/>
            <w:tcBorders/>
            <w:shd w:fill="CCEEFF" w:val="clear"/>
            <w:vAlign w:val="center"/>
          </w:tcPr>
          <w:p>
            <w:pPr>
              <w:pStyle w:val="TableContents"/>
              <w:bidi w:val="0"/>
              <w:spacing w:before="0" w:after="283"/>
              <w:ind w:left="0" w:right="0" w:hanging="0"/>
              <w:jc w:val="left"/>
              <w:rPr/>
            </w:pPr>
            <w:r>
              <w:rPr/>
              <w:t>)</w:t>
            </w:r>
            <w:bookmarkStart w:id="233" w:name="xdx_401_eus-gaap--StockIssuedDuringPerio"/>
            <w:bookmarkEnd w:id="233"/>
          </w:p>
        </w:tc>
      </w:tr>
      <w:tr>
        <w:trPr/>
        <w:tc>
          <w:tcPr>
            <w:tcW w:w="2440" w:type="dxa"/>
            <w:tcBorders/>
            <w:shd w:fill="FFFFFF" w:val="clear"/>
            <w:vAlign w:val="center"/>
          </w:tcPr>
          <w:p>
            <w:pPr>
              <w:pStyle w:val="TableContents"/>
              <w:bidi w:val="0"/>
              <w:spacing w:before="0" w:after="283"/>
              <w:jc w:val="left"/>
              <w:rPr/>
            </w:pPr>
            <w:r>
              <w:rPr/>
              <w:t>Common stock issued for services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234" w:name="xdx_982_eus-gaap--StockIssuedDuringPerio"/>
            <w:bookmarkEnd w:id="234"/>
          </w:p>
        </w:tc>
        <w:tc>
          <w:tcPr>
            <w:tcW w:w="1100" w:type="dxa"/>
            <w:tcBorders/>
            <w:shd w:fill="FFFFFF" w:val="clear"/>
            <w:vAlign w:val="center"/>
          </w:tcPr>
          <w:p>
            <w:pPr>
              <w:pStyle w:val="TableContents"/>
              <w:bidi w:val="0"/>
              <w:spacing w:before="0" w:after="283"/>
              <w:jc w:val="right"/>
              <w:rPr/>
            </w:pPr>
            <w:r>
              <w:rPr/>
              <w:t>1,862,744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937" w:type="dxa"/>
            <w:tcBorders/>
            <w:shd w:fill="FFFFFF" w:val="clear"/>
            <w:vAlign w:val="center"/>
          </w:tcPr>
          <w:p>
            <w:pPr>
              <w:pStyle w:val="TableContents"/>
              <w:bidi w:val="0"/>
              <w:spacing w:before="0" w:after="283"/>
              <w:jc w:val="right"/>
              <w:rPr/>
            </w:pPr>
            <w:r>
              <w:rPr/>
              <w:t>1,249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18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77" w:type="dxa"/>
            <w:tcBorders/>
            <w:shd w:fill="FFFFFF" w:val="clear"/>
            <w:vAlign w:val="center"/>
          </w:tcPr>
          <w:p>
            <w:pPr>
              <w:pStyle w:val="TableContents"/>
              <w:bidi w:val="0"/>
              <w:spacing w:before="0" w:after="283"/>
              <w:jc w:val="left"/>
              <w:rPr/>
            </w:pPr>
            <w:r>
              <w:rPr/>
              <w:t> </w:t>
            </w:r>
          </w:p>
        </w:tc>
        <w:tc>
          <w:tcPr>
            <w:tcW w:w="1148"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1,251</w:t>
            </w:r>
          </w:p>
        </w:tc>
        <w:tc>
          <w:tcPr>
            <w:tcW w:w="110" w:type="dxa"/>
            <w:tcBorders/>
            <w:shd w:fill="FFFFFF" w:val="clear"/>
            <w:vAlign w:val="center"/>
          </w:tcPr>
          <w:p>
            <w:pPr>
              <w:pStyle w:val="TableContents"/>
              <w:bidi w:val="0"/>
              <w:spacing w:before="0" w:after="283"/>
              <w:ind w:left="0" w:right="0" w:hanging="0"/>
              <w:jc w:val="left"/>
              <w:rPr/>
            </w:pPr>
            <w:r>
              <w:rPr/>
              <w:t> </w:t>
            </w:r>
            <w:bookmarkStart w:id="235" w:name="xdx_406_eus-gaap--StockIssuedDuringPerio"/>
            <w:bookmarkEnd w:id="235"/>
          </w:p>
        </w:tc>
      </w:tr>
      <w:tr>
        <w:trPr/>
        <w:tc>
          <w:tcPr>
            <w:tcW w:w="2440" w:type="dxa"/>
            <w:tcBorders/>
            <w:shd w:fill="CCEEFF" w:val="clear"/>
            <w:vAlign w:val="center"/>
          </w:tcPr>
          <w:p>
            <w:pPr>
              <w:pStyle w:val="TableContents"/>
              <w:bidi w:val="0"/>
              <w:spacing w:before="0" w:after="283"/>
              <w:jc w:val="left"/>
              <w:rPr/>
            </w:pPr>
            <w:r>
              <w:rPr/>
              <w:t>Sale of common stock and warrants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236" w:name="xdx_986_eus-gaap--StockIssuedDuringPerio"/>
            <w:bookmarkEnd w:id="236"/>
          </w:p>
        </w:tc>
        <w:tc>
          <w:tcPr>
            <w:tcW w:w="1100" w:type="dxa"/>
            <w:tcBorders/>
            <w:shd w:fill="CCEEFF" w:val="clear"/>
            <w:vAlign w:val="center"/>
          </w:tcPr>
          <w:p>
            <w:pPr>
              <w:pStyle w:val="TableContents"/>
              <w:bidi w:val="0"/>
              <w:spacing w:before="0" w:after="283"/>
              <w:jc w:val="right"/>
              <w:rPr/>
            </w:pPr>
            <w:r>
              <w:rPr/>
              <w:t>260,720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rFonts w:ascii="Times New Roman;Times;Serif" w:hAnsi="Times New Roman;Times;Serif"/>
                <w:sz w:val="20"/>
              </w:rPr>
              <w:t>-</w:t>
            </w:r>
            <w:bookmarkStart w:id="237" w:name="xdx_F2F_zuKBypMIGqJ6"/>
            <w:bookmarkEnd w:id="237"/>
            <w:r>
              <w:rPr>
                <w:rFonts w:ascii="Times New Roman;Times;Serif" w:hAnsi="Times New Roman;Times;Serif"/>
                <w:sz w:val="20"/>
              </w:rPr>
              <w:t xml:space="preserve">*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pPr>
            <w:r>
              <w:rPr/>
              <w:t>1,040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77" w:type="dxa"/>
            <w:tcBorders/>
            <w:shd w:fill="CCEEFF" w:val="clear"/>
            <w:vAlign w:val="center"/>
          </w:tcPr>
          <w:p>
            <w:pPr>
              <w:pStyle w:val="TableContents"/>
              <w:bidi w:val="0"/>
              <w:spacing w:before="0" w:after="283"/>
              <w:jc w:val="left"/>
              <w:rPr/>
            </w:pPr>
            <w:r>
              <w:rPr/>
              <w:t> </w:t>
            </w:r>
          </w:p>
        </w:tc>
        <w:tc>
          <w:tcPr>
            <w:tcW w:w="1148"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1,040</w:t>
            </w:r>
          </w:p>
        </w:tc>
        <w:tc>
          <w:tcPr>
            <w:tcW w:w="110" w:type="dxa"/>
            <w:tcBorders/>
            <w:shd w:fill="CCEEFF" w:val="clear"/>
            <w:vAlign w:val="center"/>
          </w:tcPr>
          <w:p>
            <w:pPr>
              <w:pStyle w:val="TableContents"/>
              <w:bidi w:val="0"/>
              <w:spacing w:before="0" w:after="283"/>
              <w:ind w:left="0" w:right="0" w:hanging="0"/>
              <w:jc w:val="left"/>
              <w:rPr/>
            </w:pPr>
            <w:r>
              <w:rPr/>
              <w:t> </w:t>
            </w:r>
            <w:bookmarkStart w:id="238" w:name="xdx_40B_eus-gaap--StockIssuedDuringPerio"/>
            <w:bookmarkEnd w:id="238"/>
          </w:p>
        </w:tc>
      </w:tr>
      <w:tr>
        <w:trPr/>
        <w:tc>
          <w:tcPr>
            <w:tcW w:w="2440" w:type="dxa"/>
            <w:tcBorders/>
            <w:shd w:fill="FFFFFF" w:val="clear"/>
            <w:vAlign w:val="center"/>
          </w:tcPr>
          <w:p>
            <w:pPr>
              <w:pStyle w:val="TableContents"/>
              <w:bidi w:val="0"/>
              <w:spacing w:before="0" w:after="283"/>
              <w:jc w:val="left"/>
              <w:rPr/>
            </w:pPr>
            <w:r>
              <w:rPr/>
              <w:t>Stock based compensation</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239" w:name="xdx_988_eus-gaap--StockIssuedDuringPerio"/>
            <w:bookmarkEnd w:id="239"/>
          </w:p>
        </w:tc>
        <w:tc>
          <w:tcPr>
            <w:tcW w:w="1100" w:type="dxa"/>
            <w:tcBorders/>
            <w:shd w:fill="FFFFFF" w:val="clear"/>
            <w:vAlign w:val="center"/>
          </w:tcPr>
          <w:p>
            <w:pPr>
              <w:pStyle w:val="TableContents"/>
              <w:bidi w:val="0"/>
              <w:spacing w:before="0" w:after="283"/>
              <w:jc w:val="right"/>
              <w:rPr/>
            </w:pPr>
            <w:r>
              <w:rPr/>
              <w:t>1,500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rFonts w:ascii="Times New Roman;Times;Serif" w:hAnsi="Times New Roman;Times;Serif"/>
                <w:sz w:val="20"/>
              </w:rPr>
              <w:t>-</w:t>
            </w:r>
            <w:bookmarkStart w:id="240" w:name="xdx_F27_zbSFW4ymoaza"/>
            <w:bookmarkEnd w:id="240"/>
            <w:r>
              <w:rPr>
                <w:rFonts w:ascii="Times New Roman;Times;Serif" w:hAnsi="Times New Roman;Times;Serif"/>
                <w:sz w:val="20"/>
              </w:rPr>
              <w:t xml:space="preserve">*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937" w:type="dxa"/>
            <w:tcBorders/>
            <w:shd w:fill="FFFFFF" w:val="clear"/>
            <w:vAlign w:val="center"/>
          </w:tcPr>
          <w:p>
            <w:pPr>
              <w:pStyle w:val="TableContents"/>
              <w:bidi w:val="0"/>
              <w:spacing w:before="0" w:after="283"/>
              <w:jc w:val="right"/>
              <w:rPr/>
            </w:pPr>
            <w:r>
              <w:rPr/>
              <w:t>(190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18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77" w:type="dxa"/>
            <w:tcBorders/>
            <w:shd w:fill="FFFFFF" w:val="clear"/>
            <w:vAlign w:val="center"/>
          </w:tcPr>
          <w:p>
            <w:pPr>
              <w:pStyle w:val="TableContents"/>
              <w:bidi w:val="0"/>
              <w:spacing w:before="0" w:after="283"/>
              <w:jc w:val="left"/>
              <w:rPr/>
            </w:pPr>
            <w:r>
              <w:rPr/>
              <w:t> </w:t>
            </w:r>
          </w:p>
        </w:tc>
        <w:tc>
          <w:tcPr>
            <w:tcW w:w="1148"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(190</w:t>
            </w:r>
          </w:p>
        </w:tc>
        <w:tc>
          <w:tcPr>
            <w:tcW w:w="110" w:type="dxa"/>
            <w:tcBorders/>
            <w:shd w:fill="FFFFFF" w:val="clear"/>
            <w:vAlign w:val="center"/>
          </w:tcPr>
          <w:p>
            <w:pPr>
              <w:pStyle w:val="TableContents"/>
              <w:bidi w:val="0"/>
              <w:spacing w:before="0" w:after="283"/>
              <w:ind w:left="0" w:right="0" w:hanging="0"/>
              <w:jc w:val="left"/>
              <w:rPr/>
            </w:pPr>
            <w:r>
              <w:rPr/>
              <w:t>)</w:t>
            </w:r>
            <w:bookmarkStart w:id="241" w:name="xdx_40C_ecustom--AccretionOfDeemedPrefer"/>
            <w:bookmarkEnd w:id="241"/>
          </w:p>
        </w:tc>
      </w:tr>
      <w:tr>
        <w:trPr/>
        <w:tc>
          <w:tcPr>
            <w:tcW w:w="2440" w:type="dxa"/>
            <w:tcBorders/>
            <w:shd w:fill="CCEEFF" w:val="clear"/>
            <w:vAlign w:val="center"/>
          </w:tcPr>
          <w:p>
            <w:pPr>
              <w:pStyle w:val="TableContents"/>
              <w:bidi w:val="0"/>
              <w:spacing w:before="0" w:after="283"/>
              <w:jc w:val="left"/>
              <w:rPr/>
            </w:pPr>
            <w:r>
              <w:rPr/>
              <w:t>Accretion of deemed preferred stock dividend</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pPr>
            <w:r>
              <w:rPr/>
              <w:t>133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77" w:type="dxa"/>
            <w:tcBorders/>
            <w:shd w:fill="CCEEFF" w:val="clear"/>
            <w:vAlign w:val="center"/>
          </w:tcPr>
          <w:p>
            <w:pPr>
              <w:pStyle w:val="TableContents"/>
              <w:bidi w:val="0"/>
              <w:spacing w:before="0" w:after="283"/>
              <w:jc w:val="left"/>
              <w:rPr/>
            </w:pPr>
            <w:r>
              <w:rPr/>
              <w:t> </w:t>
            </w:r>
          </w:p>
        </w:tc>
        <w:tc>
          <w:tcPr>
            <w:tcW w:w="1148"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133</w:t>
            </w:r>
          </w:p>
        </w:tc>
        <w:tc>
          <w:tcPr>
            <w:tcW w:w="110" w:type="dxa"/>
            <w:tcBorders/>
            <w:shd w:fill="CCEEFF" w:val="clear"/>
            <w:vAlign w:val="center"/>
          </w:tcPr>
          <w:p>
            <w:pPr>
              <w:pStyle w:val="TableContents"/>
              <w:bidi w:val="0"/>
              <w:spacing w:before="0" w:after="283"/>
              <w:ind w:left="0" w:right="0" w:hanging="0"/>
              <w:jc w:val="left"/>
              <w:rPr/>
            </w:pPr>
            <w:r>
              <w:rPr/>
              <w:t> </w:t>
            </w:r>
            <w:bookmarkStart w:id="242" w:name="xdx_40A_ecustom--DeemedPreferredStockDiv"/>
            <w:bookmarkEnd w:id="242"/>
          </w:p>
        </w:tc>
      </w:tr>
      <w:tr>
        <w:trPr/>
        <w:tc>
          <w:tcPr>
            <w:tcW w:w="2440" w:type="dxa"/>
            <w:tcBorders/>
            <w:shd w:fill="FFFFFF" w:val="clear"/>
            <w:vAlign w:val="center"/>
          </w:tcPr>
          <w:p>
            <w:pPr>
              <w:pStyle w:val="TableContents"/>
              <w:bidi w:val="0"/>
              <w:spacing w:before="0" w:after="283"/>
              <w:jc w:val="left"/>
              <w:rPr/>
            </w:pPr>
            <w:r>
              <w:rPr/>
              <w:t>Deemed preferred stock dividend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937" w:type="dxa"/>
            <w:tcBorders/>
            <w:shd w:fill="FFFFFF" w:val="clear"/>
            <w:vAlign w:val="center"/>
          </w:tcPr>
          <w:p>
            <w:pPr>
              <w:pStyle w:val="TableContents"/>
              <w:bidi w:val="0"/>
              <w:spacing w:before="0" w:after="283"/>
              <w:jc w:val="right"/>
              <w:rPr/>
            </w:pPr>
            <w:r>
              <w:rPr/>
              <w:t>(133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18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77" w:type="dxa"/>
            <w:tcBorders/>
            <w:shd w:fill="FFFFFF" w:val="clear"/>
            <w:vAlign w:val="center"/>
          </w:tcPr>
          <w:p>
            <w:pPr>
              <w:pStyle w:val="TableContents"/>
              <w:bidi w:val="0"/>
              <w:spacing w:before="0" w:after="283"/>
              <w:jc w:val="left"/>
              <w:rPr/>
            </w:pPr>
            <w:r>
              <w:rPr/>
              <w:t> </w:t>
            </w:r>
          </w:p>
        </w:tc>
        <w:tc>
          <w:tcPr>
            <w:tcW w:w="1148"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(133</w:t>
            </w:r>
          </w:p>
        </w:tc>
        <w:tc>
          <w:tcPr>
            <w:tcW w:w="110" w:type="dxa"/>
            <w:tcBorders/>
            <w:shd w:fill="FFFFFF" w:val="clear"/>
            <w:vAlign w:val="center"/>
          </w:tcPr>
          <w:p>
            <w:pPr>
              <w:pStyle w:val="TableContents"/>
              <w:bidi w:val="0"/>
              <w:spacing w:before="0" w:after="283"/>
              <w:ind w:left="0" w:right="0" w:hanging="0"/>
              <w:jc w:val="left"/>
              <w:rPr/>
            </w:pPr>
            <w:r>
              <w:rPr/>
              <w:t>)</w:t>
            </w:r>
            <w:bookmarkStart w:id="243" w:name="xdx_406_eus-gaap--AdjustmentsToAdditiona"/>
            <w:bookmarkEnd w:id="243"/>
          </w:p>
        </w:tc>
      </w:tr>
      <w:tr>
        <w:trPr/>
        <w:tc>
          <w:tcPr>
            <w:tcW w:w="2440" w:type="dxa"/>
            <w:tcBorders/>
            <w:shd w:fill="CCEEFF" w:val="clear"/>
            <w:vAlign w:val="center"/>
          </w:tcPr>
          <w:p>
            <w:pPr>
              <w:pStyle w:val="TableContents"/>
              <w:bidi w:val="0"/>
              <w:spacing w:before="0" w:after="283"/>
              <w:jc w:val="left"/>
              <w:rPr/>
            </w:pPr>
            <w:r>
              <w:rPr/>
              <w:t>Preferred stock dividend</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pPr>
            <w:r>
              <w:rPr/>
              <w:t>(2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77" w:type="dxa"/>
            <w:tcBorders/>
            <w:shd w:fill="CCEEFF" w:val="clear"/>
            <w:vAlign w:val="center"/>
          </w:tcPr>
          <w:p>
            <w:pPr>
              <w:pStyle w:val="TableContents"/>
              <w:bidi w:val="0"/>
              <w:spacing w:before="0" w:after="283"/>
              <w:jc w:val="left"/>
              <w:rPr/>
            </w:pPr>
            <w:r>
              <w:rPr/>
              <w:t> </w:t>
            </w:r>
          </w:p>
        </w:tc>
        <w:tc>
          <w:tcPr>
            <w:tcW w:w="1148"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(2</w:t>
            </w:r>
          </w:p>
        </w:tc>
        <w:tc>
          <w:tcPr>
            <w:tcW w:w="110" w:type="dxa"/>
            <w:tcBorders/>
            <w:shd w:fill="CCEEFF" w:val="clear"/>
            <w:vAlign w:val="center"/>
          </w:tcPr>
          <w:p>
            <w:pPr>
              <w:pStyle w:val="TableContents"/>
              <w:bidi w:val="0"/>
              <w:spacing w:before="0" w:after="283"/>
              <w:ind w:left="0" w:right="0" w:hanging="0"/>
              <w:jc w:val="left"/>
              <w:rPr/>
            </w:pPr>
            <w:r>
              <w:rPr/>
              <w:t>)</w:t>
            </w:r>
            <w:bookmarkStart w:id="244" w:name="xdx_407_eus-gaap--ProfitLoss_znmCnjw9BnS"/>
            <w:bookmarkEnd w:id="244"/>
          </w:p>
        </w:tc>
      </w:tr>
      <w:tr>
        <w:trPr/>
        <w:tc>
          <w:tcPr>
            <w:tcW w:w="2440" w:type="dxa"/>
            <w:tcBorders/>
            <w:shd w:fill="FFFFFF" w:val="clear"/>
            <w:vAlign w:val="center"/>
          </w:tcPr>
          <w:p>
            <w:pPr>
              <w:pStyle w:val="TableContents"/>
              <w:bidi w:val="0"/>
              <w:spacing w:before="0" w:after="283"/>
              <w:jc w:val="left"/>
              <w:rPr/>
            </w:pPr>
            <w:r>
              <w:rPr/>
              <w:t>Net loss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59"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37"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82" w:type="dxa"/>
            <w:tcBorders>
              <w:bottom w:val="single" w:sz="8" w:space="0" w:color="000000"/>
            </w:tcBorders>
            <w:shd w:fill="FFFFFF" w:val="clear"/>
            <w:tcMar>
              <w:bottom w:w="28" w:type="dxa"/>
            </w:tcMar>
            <w:vAlign w:val="center"/>
          </w:tcPr>
          <w:p>
            <w:pPr>
              <w:pStyle w:val="TableContents"/>
              <w:bidi w:val="0"/>
              <w:spacing w:before="0" w:after="283"/>
              <w:jc w:val="right"/>
              <w:rPr/>
            </w:pPr>
            <w:r>
              <w:rPr/>
              <w:t>(3,402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47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48" w:type="dxa"/>
            <w:tcBorders>
              <w:bottom w:val="single" w:sz="8" w:space="0" w:color="000000"/>
            </w:tcBorders>
            <w:shd w:fill="FFFFFF" w:val="clear"/>
            <w:tcMar>
              <w:bottom w:w="28" w:type="dxa"/>
            </w:tcMar>
            <w:vAlign w:val="center"/>
          </w:tcPr>
          <w:p>
            <w:pPr>
              <w:pStyle w:val="TableContents"/>
              <w:bidi w:val="0"/>
              <w:spacing w:before="0" w:after="283"/>
              <w:jc w:val="right"/>
              <w:rPr/>
            </w:pPr>
            <w:r>
              <w:rPr/>
              <w:t>(13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35" w:type="dxa"/>
            <w:tcBorders>
              <w:bottom w:val="single" w:sz="8" w:space="0" w:color="000000"/>
            </w:tcBorders>
            <w:shd w:fill="FFFFFF" w:val="clear"/>
            <w:tcMar>
              <w:bottom w:w="28" w:type="dxa"/>
            </w:tcMar>
            <w:vAlign w:val="center"/>
          </w:tcPr>
          <w:p>
            <w:pPr>
              <w:pStyle w:val="TableContents"/>
              <w:bidi w:val="0"/>
              <w:spacing w:before="0" w:after="283"/>
              <w:jc w:val="right"/>
              <w:rPr/>
            </w:pPr>
            <w:r>
              <w:rPr/>
              <w:t>(3,415</w:t>
            </w:r>
          </w:p>
        </w:tc>
        <w:tc>
          <w:tcPr>
            <w:tcW w:w="110" w:type="dxa"/>
            <w:tcBorders/>
            <w:shd w:fill="FFFFFF" w:val="clear"/>
            <w:vAlign w:val="center"/>
          </w:tcPr>
          <w:p>
            <w:pPr>
              <w:pStyle w:val="TableContents"/>
              <w:bidi w:val="0"/>
              <w:spacing w:before="0" w:after="283"/>
              <w:ind w:left="0" w:right="0" w:hanging="0"/>
              <w:jc w:val="left"/>
              <w:rPr/>
            </w:pPr>
            <w:r>
              <w:rPr/>
              <w:t>)</w:t>
            </w:r>
            <w:bookmarkStart w:id="245" w:name="xdx_43F_c20240401__20240630_eus-gaap--St"/>
            <w:bookmarkEnd w:id="245"/>
          </w:p>
        </w:tc>
      </w:tr>
      <w:tr>
        <w:trPr/>
        <w:tc>
          <w:tcPr>
            <w:tcW w:w="2440"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 xml:space="preserve">Balance, March 31, 2024 </w:t>
            </w:r>
            <w:r>
              <w:rPr>
                <w:rFonts w:ascii="Times New Roman;Times;Serif" w:hAnsi="Times New Roman;Times;Serif"/>
                <w:b/>
                <w:i/>
                <w:sz w:val="20"/>
              </w:rPr>
              <w:t>(Unaudited)</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246" w:name="xdx_988_eus-gaap--SharesOutstanding_iS_p"/>
            <w:bookmarkEnd w:id="246"/>
          </w:p>
        </w:tc>
        <w:tc>
          <w:tcPr>
            <w:tcW w:w="1100" w:type="dxa"/>
            <w:tcBorders/>
            <w:shd w:fill="CCEEFF" w:val="clear"/>
            <w:vAlign w:val="center"/>
          </w:tcPr>
          <w:p>
            <w:pPr>
              <w:pStyle w:val="TableContents"/>
              <w:bidi w:val="0"/>
              <w:spacing w:before="0" w:after="283"/>
              <w:jc w:val="right"/>
              <w:rPr>
                <w:b/>
              </w:rPr>
            </w:pPr>
            <w:r>
              <w:rPr>
                <w:b/>
              </w:rPr>
              <w:t>11,165,007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b/>
              </w:rPr>
            </w:pPr>
            <w:r>
              <w:rPr>
                <w:b/>
              </w:rPr>
              <w:t>$</w:t>
            </w:r>
          </w:p>
        </w:tc>
        <w:tc>
          <w:tcPr>
            <w:tcW w:w="559" w:type="dxa"/>
            <w:tcBorders/>
            <w:shd w:fill="CCEEFF" w:val="clear"/>
            <w:vAlign w:val="center"/>
          </w:tcPr>
          <w:p>
            <w:pPr>
              <w:pStyle w:val="TableContents"/>
              <w:bidi w:val="0"/>
              <w:spacing w:before="0" w:after="283"/>
              <w:jc w:val="right"/>
              <w:rPr>
                <w:b/>
              </w:rPr>
            </w:pPr>
            <w:r>
              <w:rPr>
                <w:b/>
              </w:rPr>
              <w:t>11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b/>
              </w:rPr>
            </w:pPr>
            <w:r>
              <w:rPr>
                <w:b/>
              </w:rPr>
              <w:t>$</w:t>
            </w:r>
          </w:p>
        </w:tc>
        <w:tc>
          <w:tcPr>
            <w:tcW w:w="937" w:type="dxa"/>
            <w:tcBorders/>
            <w:shd w:fill="CCEEFF" w:val="clear"/>
            <w:vAlign w:val="center"/>
          </w:tcPr>
          <w:p>
            <w:pPr>
              <w:pStyle w:val="TableContents"/>
              <w:bidi w:val="0"/>
              <w:spacing w:before="0" w:after="283"/>
              <w:jc w:val="right"/>
              <w:rPr>
                <w:b/>
              </w:rPr>
            </w:pPr>
            <w:r>
              <w:rPr>
                <w:b/>
              </w:rPr>
              <w:t>244,085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b/>
              </w:rPr>
            </w:pPr>
            <w:r>
              <w:rPr>
                <w:b/>
              </w:rPr>
              <w:t>$</w:t>
            </w:r>
          </w:p>
        </w:tc>
        <w:tc>
          <w:tcPr>
            <w:tcW w:w="1182" w:type="dxa"/>
            <w:tcBorders/>
            <w:shd w:fill="CCEEFF" w:val="clear"/>
            <w:vAlign w:val="center"/>
          </w:tcPr>
          <w:p>
            <w:pPr>
              <w:pStyle w:val="TableContents"/>
              <w:bidi w:val="0"/>
              <w:spacing w:before="0" w:after="283"/>
              <w:jc w:val="right"/>
              <w:rPr>
                <w:b/>
              </w:rPr>
            </w:pPr>
            <w:r>
              <w:rPr>
                <w:b/>
              </w:rPr>
              <w:t>(248,417</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477" w:type="dxa"/>
            <w:tcBorders/>
            <w:shd w:fill="CCEEFF" w:val="clear"/>
            <w:vAlign w:val="center"/>
          </w:tcPr>
          <w:p>
            <w:pPr>
              <w:pStyle w:val="TableContents"/>
              <w:bidi w:val="0"/>
              <w:spacing w:before="0" w:after="283"/>
              <w:jc w:val="left"/>
              <w:rPr>
                <w:b/>
              </w:rPr>
            </w:pPr>
            <w:r>
              <w:rPr>
                <w:b/>
              </w:rPr>
              <w:t>$</w:t>
            </w:r>
          </w:p>
        </w:tc>
        <w:tc>
          <w:tcPr>
            <w:tcW w:w="1148" w:type="dxa"/>
            <w:tcBorders/>
            <w:shd w:fill="CCEEFF" w:val="clear"/>
            <w:vAlign w:val="center"/>
          </w:tcPr>
          <w:p>
            <w:pPr>
              <w:pStyle w:val="TableContents"/>
              <w:bidi w:val="0"/>
              <w:spacing w:before="0" w:after="283"/>
              <w:jc w:val="right"/>
              <w:rPr>
                <w:b/>
              </w:rPr>
            </w:pPr>
            <w:r>
              <w:rPr>
                <w:b/>
              </w:rPr>
              <w:t>13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b/>
              </w:rPr>
            </w:pPr>
            <w:r>
              <w:rPr>
                <w:b/>
              </w:rPr>
              <w:t>$</w:t>
            </w:r>
          </w:p>
        </w:tc>
        <w:tc>
          <w:tcPr>
            <w:tcW w:w="635" w:type="dxa"/>
            <w:tcBorders/>
            <w:shd w:fill="CCEEFF" w:val="clear"/>
            <w:vAlign w:val="center"/>
          </w:tcPr>
          <w:p>
            <w:pPr>
              <w:pStyle w:val="TableContents"/>
              <w:bidi w:val="0"/>
              <w:spacing w:before="0" w:after="283"/>
              <w:jc w:val="right"/>
              <w:rPr>
                <w:b/>
              </w:rPr>
            </w:pPr>
            <w:r>
              <w:rPr>
                <w:b/>
              </w:rPr>
              <w:t>(4,308</w:t>
            </w:r>
          </w:p>
        </w:tc>
        <w:tc>
          <w:tcPr>
            <w:tcW w:w="110" w:type="dxa"/>
            <w:tcBorders/>
            <w:shd w:fill="CCEEFF" w:val="clear"/>
            <w:vAlign w:val="center"/>
          </w:tcPr>
          <w:p>
            <w:pPr>
              <w:pStyle w:val="TableContents"/>
              <w:bidi w:val="0"/>
              <w:spacing w:before="0" w:after="283"/>
              <w:ind w:left="0" w:right="0" w:hanging="0"/>
              <w:jc w:val="left"/>
              <w:rPr>
                <w:b/>
              </w:rPr>
            </w:pPr>
            <w:r>
              <w:rPr>
                <w:b/>
              </w:rPr>
              <w:t>)</w:t>
            </w:r>
            <w:bookmarkStart w:id="247" w:name="xdx_401_eus-gaap--StockIssuedDuringPerio"/>
            <w:bookmarkEnd w:id="247"/>
          </w:p>
        </w:tc>
      </w:tr>
      <w:tr>
        <w:trPr/>
        <w:tc>
          <w:tcPr>
            <w:tcW w:w="2440" w:type="dxa"/>
            <w:tcBorders/>
            <w:shd w:fill="FFFFFF" w:val="clear"/>
            <w:vAlign w:val="center"/>
          </w:tcPr>
          <w:p>
            <w:pPr>
              <w:pStyle w:val="TableContents"/>
              <w:bidi w:val="0"/>
              <w:spacing w:before="0" w:after="283"/>
              <w:jc w:val="left"/>
              <w:rPr/>
            </w:pPr>
            <w:r>
              <w:rPr/>
              <w:t>Common stock issued for services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248" w:name="xdx_984_eus-gaap--StockIssuedDuringPerio"/>
            <w:bookmarkEnd w:id="248"/>
          </w:p>
        </w:tc>
        <w:tc>
          <w:tcPr>
            <w:tcW w:w="1100" w:type="dxa"/>
            <w:tcBorders/>
            <w:shd w:fill="FFFFFF" w:val="clear"/>
            <w:vAlign w:val="center"/>
          </w:tcPr>
          <w:p>
            <w:pPr>
              <w:pStyle w:val="TableContents"/>
              <w:bidi w:val="0"/>
              <w:spacing w:before="0" w:after="283"/>
              <w:jc w:val="right"/>
              <w:rPr/>
            </w:pPr>
            <w:r>
              <w:rPr/>
              <w:t>278,000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rFonts w:ascii="Times New Roman;Times;Serif" w:hAnsi="Times New Roman;Times;Serif"/>
                <w:sz w:val="20"/>
              </w:rPr>
              <w:t>-</w:t>
            </w:r>
            <w:bookmarkStart w:id="249" w:name="xdx_F2D_zPy5d8XPwIQ5"/>
            <w:bookmarkEnd w:id="249"/>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937" w:type="dxa"/>
            <w:tcBorders/>
            <w:shd w:fill="FFFFFF" w:val="clear"/>
            <w:vAlign w:val="center"/>
          </w:tcPr>
          <w:p>
            <w:pPr>
              <w:pStyle w:val="TableContents"/>
              <w:bidi w:val="0"/>
              <w:spacing w:before="0" w:after="283"/>
              <w:jc w:val="right"/>
              <w:rPr/>
            </w:pPr>
            <w:r>
              <w:rPr/>
              <w:t>420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18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77" w:type="dxa"/>
            <w:tcBorders/>
            <w:shd w:fill="FFFFFF" w:val="clear"/>
            <w:vAlign w:val="center"/>
          </w:tcPr>
          <w:p>
            <w:pPr>
              <w:pStyle w:val="TableContents"/>
              <w:bidi w:val="0"/>
              <w:spacing w:before="0" w:after="283"/>
              <w:jc w:val="left"/>
              <w:rPr/>
            </w:pPr>
            <w:r>
              <w:rPr/>
              <w:t> </w:t>
            </w:r>
          </w:p>
        </w:tc>
        <w:tc>
          <w:tcPr>
            <w:tcW w:w="1148"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420</w:t>
            </w:r>
          </w:p>
        </w:tc>
        <w:tc>
          <w:tcPr>
            <w:tcW w:w="110" w:type="dxa"/>
            <w:tcBorders/>
            <w:shd w:fill="FFFFFF" w:val="clear"/>
            <w:vAlign w:val="center"/>
          </w:tcPr>
          <w:p>
            <w:pPr>
              <w:pStyle w:val="TableContents"/>
              <w:bidi w:val="0"/>
              <w:spacing w:before="0" w:after="283"/>
              <w:ind w:left="0" w:right="0" w:hanging="0"/>
              <w:jc w:val="left"/>
              <w:rPr/>
            </w:pPr>
            <w:r>
              <w:rPr/>
              <w:t> </w:t>
            </w:r>
            <w:bookmarkStart w:id="250" w:name="xdx_406_eus-gaap--StockIssuedDuringPerio"/>
            <w:bookmarkEnd w:id="250"/>
          </w:p>
        </w:tc>
      </w:tr>
      <w:tr>
        <w:trPr/>
        <w:tc>
          <w:tcPr>
            <w:tcW w:w="2440" w:type="dxa"/>
            <w:tcBorders/>
            <w:shd w:fill="CCEEFF" w:val="clear"/>
            <w:vAlign w:val="center"/>
          </w:tcPr>
          <w:p>
            <w:pPr>
              <w:pStyle w:val="TableContents"/>
              <w:bidi w:val="0"/>
              <w:spacing w:before="0" w:after="283"/>
              <w:jc w:val="left"/>
              <w:rPr/>
            </w:pPr>
            <w:r>
              <w:rPr/>
              <w:t>Sale of common stock and warrants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251" w:name="xdx_986_eus-gaap--StockIssuedDuringPerio"/>
            <w:bookmarkEnd w:id="251"/>
          </w:p>
        </w:tc>
        <w:tc>
          <w:tcPr>
            <w:tcW w:w="1100" w:type="dxa"/>
            <w:tcBorders/>
            <w:shd w:fill="CCEEFF" w:val="clear"/>
            <w:vAlign w:val="center"/>
          </w:tcPr>
          <w:p>
            <w:pPr>
              <w:pStyle w:val="TableContents"/>
              <w:bidi w:val="0"/>
              <w:spacing w:before="0" w:after="283"/>
              <w:jc w:val="right"/>
              <w:rPr/>
            </w:pPr>
            <w:r>
              <w:rPr/>
              <w:t>434,782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pPr>
            <w:r>
              <w:rPr/>
              <w:t>635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77" w:type="dxa"/>
            <w:tcBorders/>
            <w:shd w:fill="CCEEFF" w:val="clear"/>
            <w:vAlign w:val="center"/>
          </w:tcPr>
          <w:p>
            <w:pPr>
              <w:pStyle w:val="TableContents"/>
              <w:bidi w:val="0"/>
              <w:spacing w:before="0" w:after="283"/>
              <w:jc w:val="left"/>
              <w:rPr/>
            </w:pPr>
            <w:r>
              <w:rPr/>
              <w:t> </w:t>
            </w:r>
          </w:p>
        </w:tc>
        <w:tc>
          <w:tcPr>
            <w:tcW w:w="1148"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636</w:t>
            </w:r>
          </w:p>
        </w:tc>
        <w:tc>
          <w:tcPr>
            <w:tcW w:w="110" w:type="dxa"/>
            <w:tcBorders/>
            <w:shd w:fill="CCEEFF" w:val="clear"/>
            <w:vAlign w:val="center"/>
          </w:tcPr>
          <w:p>
            <w:pPr>
              <w:pStyle w:val="TableContents"/>
              <w:bidi w:val="0"/>
              <w:spacing w:before="0" w:after="283"/>
              <w:ind w:left="0" w:right="0" w:hanging="0"/>
              <w:jc w:val="left"/>
              <w:rPr/>
            </w:pPr>
            <w:r>
              <w:rPr/>
              <w:t> </w:t>
            </w:r>
            <w:bookmarkStart w:id="252" w:name="xdx_400_eus-gaap--StockIssuedDuringPerio"/>
            <w:bookmarkEnd w:id="252"/>
          </w:p>
        </w:tc>
      </w:tr>
      <w:tr>
        <w:trPr/>
        <w:tc>
          <w:tcPr>
            <w:tcW w:w="2440" w:type="dxa"/>
            <w:tcBorders/>
            <w:shd w:fill="FFFFFF" w:val="clear"/>
            <w:vAlign w:val="center"/>
          </w:tcPr>
          <w:p>
            <w:pPr>
              <w:pStyle w:val="TableContents"/>
              <w:bidi w:val="0"/>
              <w:spacing w:before="0" w:after="283"/>
              <w:jc w:val="left"/>
              <w:rPr/>
            </w:pPr>
            <w:r>
              <w:rPr/>
              <w:t>Common stock issued in exchange of note payable and accrued interest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253" w:name="xdx_985_eus-gaap--StockIssuedDuringPerio"/>
            <w:bookmarkEnd w:id="253"/>
          </w:p>
        </w:tc>
        <w:tc>
          <w:tcPr>
            <w:tcW w:w="1100" w:type="dxa"/>
            <w:tcBorders/>
            <w:shd w:fill="FFFFFF" w:val="clear"/>
            <w:vAlign w:val="center"/>
          </w:tcPr>
          <w:p>
            <w:pPr>
              <w:pStyle w:val="TableContents"/>
              <w:bidi w:val="0"/>
              <w:spacing w:before="0" w:after="283"/>
              <w:jc w:val="right"/>
              <w:rPr/>
            </w:pPr>
            <w:r>
              <w:rPr/>
              <w:t>348,624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rFonts w:ascii="Times New Roman;Times;Serif" w:hAnsi="Times New Roman;Times;Serif"/>
                <w:sz w:val="20"/>
              </w:rPr>
              <w:t>-</w:t>
            </w:r>
            <w:bookmarkStart w:id="254" w:name="xdx_F29_zrJxUyNzNS68"/>
            <w:bookmarkEnd w:id="254"/>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937" w:type="dxa"/>
            <w:tcBorders/>
            <w:shd w:fill="FFFFFF" w:val="clear"/>
            <w:vAlign w:val="center"/>
          </w:tcPr>
          <w:p>
            <w:pPr>
              <w:pStyle w:val="TableContents"/>
              <w:bidi w:val="0"/>
              <w:spacing w:before="0" w:after="283"/>
              <w:jc w:val="right"/>
              <w:rPr/>
            </w:pPr>
            <w:r>
              <w:rPr/>
              <w:t>509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18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77" w:type="dxa"/>
            <w:tcBorders/>
            <w:shd w:fill="FFFFFF" w:val="clear"/>
            <w:vAlign w:val="center"/>
          </w:tcPr>
          <w:p>
            <w:pPr>
              <w:pStyle w:val="TableContents"/>
              <w:bidi w:val="0"/>
              <w:spacing w:before="0" w:after="283"/>
              <w:jc w:val="left"/>
              <w:rPr/>
            </w:pPr>
            <w:r>
              <w:rPr/>
              <w:t> </w:t>
            </w:r>
          </w:p>
        </w:tc>
        <w:tc>
          <w:tcPr>
            <w:tcW w:w="1148"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509</w:t>
            </w:r>
          </w:p>
        </w:tc>
        <w:tc>
          <w:tcPr>
            <w:tcW w:w="110" w:type="dxa"/>
            <w:tcBorders/>
            <w:shd w:fill="FFFFFF" w:val="clear"/>
            <w:vAlign w:val="center"/>
          </w:tcPr>
          <w:p>
            <w:pPr>
              <w:pStyle w:val="TableContents"/>
              <w:bidi w:val="0"/>
              <w:spacing w:before="0" w:after="283"/>
              <w:ind w:left="0" w:right="0" w:hanging="0"/>
              <w:jc w:val="left"/>
              <w:rPr/>
            </w:pPr>
            <w:r>
              <w:rPr/>
              <w:t> </w:t>
            </w:r>
            <w:bookmarkStart w:id="255" w:name="xdx_40A_ecustom--StockIssuedDuringPeriod"/>
            <w:bookmarkEnd w:id="255"/>
          </w:p>
        </w:tc>
      </w:tr>
      <w:tr>
        <w:trPr/>
        <w:tc>
          <w:tcPr>
            <w:tcW w:w="2440" w:type="dxa"/>
            <w:tcBorders/>
            <w:shd w:fill="CCEEFF" w:val="clear"/>
            <w:vAlign w:val="center"/>
          </w:tcPr>
          <w:p>
            <w:pPr>
              <w:pStyle w:val="TableContents"/>
              <w:bidi w:val="0"/>
              <w:spacing w:before="0" w:after="283"/>
              <w:jc w:val="left"/>
              <w:rPr/>
            </w:pPr>
            <w:r>
              <w:rPr/>
              <w:t>Sale of common stock and warrants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256" w:name="xdx_989_ecustom--StockIssuedDuringPeriod"/>
            <w:bookmarkEnd w:id="256"/>
          </w:p>
        </w:tc>
        <w:tc>
          <w:tcPr>
            <w:tcW w:w="1100" w:type="dxa"/>
            <w:tcBorders/>
            <w:shd w:fill="CCEEFF" w:val="clear"/>
            <w:vAlign w:val="center"/>
          </w:tcPr>
          <w:p>
            <w:pPr>
              <w:pStyle w:val="TableContents"/>
              <w:bidi w:val="0"/>
              <w:spacing w:before="0" w:after="283"/>
              <w:jc w:val="right"/>
              <w:rPr/>
            </w:pPr>
            <w:r>
              <w:rPr/>
              <w:t>1,570,683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pPr>
            <w:r>
              <w:rPr/>
              <w:t>2,532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77" w:type="dxa"/>
            <w:tcBorders/>
            <w:shd w:fill="CCEEFF" w:val="clear"/>
            <w:vAlign w:val="center"/>
          </w:tcPr>
          <w:p>
            <w:pPr>
              <w:pStyle w:val="TableContents"/>
              <w:bidi w:val="0"/>
              <w:spacing w:before="0" w:after="283"/>
              <w:jc w:val="left"/>
              <w:rPr/>
            </w:pPr>
            <w:r>
              <w:rPr/>
              <w:t> </w:t>
            </w:r>
          </w:p>
        </w:tc>
        <w:tc>
          <w:tcPr>
            <w:tcW w:w="1148"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2,534</w:t>
            </w:r>
          </w:p>
        </w:tc>
        <w:tc>
          <w:tcPr>
            <w:tcW w:w="110" w:type="dxa"/>
            <w:tcBorders/>
            <w:shd w:fill="CCEEFF" w:val="clear"/>
            <w:vAlign w:val="center"/>
          </w:tcPr>
          <w:p>
            <w:pPr>
              <w:pStyle w:val="TableContents"/>
              <w:bidi w:val="0"/>
              <w:spacing w:before="0" w:after="283"/>
              <w:ind w:left="0" w:right="0" w:hanging="0"/>
              <w:jc w:val="left"/>
              <w:rPr/>
            </w:pPr>
            <w:r>
              <w:rPr/>
              <w:t> </w:t>
            </w:r>
            <w:bookmarkStart w:id="257" w:name="xdx_40D_ecustom--StockIssuedDuringPeriod"/>
            <w:bookmarkEnd w:id="257"/>
          </w:p>
        </w:tc>
      </w:tr>
      <w:tr>
        <w:trPr/>
        <w:tc>
          <w:tcPr>
            <w:tcW w:w="2440" w:type="dxa"/>
            <w:tcBorders/>
            <w:shd w:fill="FFFFFF" w:val="clear"/>
            <w:vAlign w:val="center"/>
          </w:tcPr>
          <w:p>
            <w:pPr>
              <w:pStyle w:val="TableContents"/>
              <w:bidi w:val="0"/>
              <w:spacing w:before="0" w:after="283"/>
              <w:jc w:val="left"/>
              <w:rPr/>
            </w:pPr>
            <w:r>
              <w:rPr/>
              <w:t>Stock issued as forgiveness of debt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258" w:name="xdx_98E_ecustom--StockIssuedDuringPeriod"/>
            <w:bookmarkEnd w:id="258"/>
          </w:p>
        </w:tc>
        <w:tc>
          <w:tcPr>
            <w:tcW w:w="1100" w:type="dxa"/>
            <w:tcBorders/>
            <w:shd w:fill="FFFFFF" w:val="clear"/>
            <w:vAlign w:val="center"/>
          </w:tcPr>
          <w:p>
            <w:pPr>
              <w:pStyle w:val="TableContents"/>
              <w:bidi w:val="0"/>
              <w:spacing w:before="0" w:after="283"/>
              <w:jc w:val="right"/>
              <w:rPr/>
            </w:pPr>
            <w:r>
              <w:rPr/>
              <w:t>75,000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rFonts w:ascii="Times New Roman;Times;Serif" w:hAnsi="Times New Roman;Times;Serif"/>
                <w:sz w:val="20"/>
              </w:rPr>
              <w:t>-</w:t>
            </w:r>
            <w:bookmarkStart w:id="259" w:name="xdx_F23_zldP1dfU6Hwj"/>
            <w:bookmarkEnd w:id="259"/>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937" w:type="dxa"/>
            <w:tcBorders/>
            <w:shd w:fill="FFFFFF" w:val="clear"/>
            <w:vAlign w:val="center"/>
          </w:tcPr>
          <w:p>
            <w:pPr>
              <w:pStyle w:val="TableContents"/>
              <w:bidi w:val="0"/>
              <w:spacing w:before="0" w:after="283"/>
              <w:jc w:val="right"/>
              <w:rPr/>
            </w:pPr>
            <w:r>
              <w:rPr/>
              <w:t>122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18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77" w:type="dxa"/>
            <w:tcBorders/>
            <w:shd w:fill="FFFFFF" w:val="clear"/>
            <w:vAlign w:val="center"/>
          </w:tcPr>
          <w:p>
            <w:pPr>
              <w:pStyle w:val="TableContents"/>
              <w:bidi w:val="0"/>
              <w:spacing w:before="0" w:after="283"/>
              <w:jc w:val="left"/>
              <w:rPr/>
            </w:pPr>
            <w:r>
              <w:rPr/>
              <w:t> </w:t>
            </w:r>
          </w:p>
        </w:tc>
        <w:tc>
          <w:tcPr>
            <w:tcW w:w="1148"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122</w:t>
            </w:r>
          </w:p>
        </w:tc>
        <w:tc>
          <w:tcPr>
            <w:tcW w:w="110" w:type="dxa"/>
            <w:tcBorders/>
            <w:shd w:fill="FFFFFF" w:val="clear"/>
            <w:vAlign w:val="center"/>
          </w:tcPr>
          <w:p>
            <w:pPr>
              <w:pStyle w:val="TableContents"/>
              <w:bidi w:val="0"/>
              <w:spacing w:before="0" w:after="283"/>
              <w:ind w:left="0" w:right="0" w:hanging="0"/>
              <w:jc w:val="left"/>
              <w:rPr/>
            </w:pPr>
            <w:r>
              <w:rPr/>
              <w:t> </w:t>
            </w:r>
            <w:bookmarkStart w:id="260" w:name="xdx_40B_eus-gaap--StockIssuedDuringPerio"/>
            <w:bookmarkEnd w:id="260"/>
          </w:p>
        </w:tc>
      </w:tr>
      <w:tr>
        <w:trPr/>
        <w:tc>
          <w:tcPr>
            <w:tcW w:w="2440" w:type="dxa"/>
            <w:tcBorders/>
            <w:shd w:fill="CCEEFF" w:val="clear"/>
            <w:vAlign w:val="center"/>
          </w:tcPr>
          <w:p>
            <w:pPr>
              <w:pStyle w:val="TableContents"/>
              <w:bidi w:val="0"/>
              <w:spacing w:before="0" w:after="283"/>
              <w:jc w:val="left"/>
              <w:rPr/>
            </w:pPr>
            <w:r>
              <w:rPr/>
              <w:t>Stock based compensation</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261" w:name="xdx_98C_eus-gaap--StockIssuedDuringPerio"/>
            <w:bookmarkEnd w:id="261"/>
          </w:p>
        </w:tc>
        <w:tc>
          <w:tcPr>
            <w:tcW w:w="1100" w:type="dxa"/>
            <w:tcBorders/>
            <w:shd w:fill="CCEEFF" w:val="clear"/>
            <w:vAlign w:val="center"/>
          </w:tcPr>
          <w:p>
            <w:pPr>
              <w:pStyle w:val="TableContents"/>
              <w:bidi w:val="0"/>
              <w:spacing w:before="0" w:after="283"/>
              <w:jc w:val="right"/>
              <w:rPr/>
            </w:pPr>
            <w:r>
              <w:rPr/>
              <w:t>1,238,750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pPr>
            <w:r>
              <w:rPr/>
              <w:t>4,011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77" w:type="dxa"/>
            <w:tcBorders/>
            <w:shd w:fill="CCEEFF" w:val="clear"/>
            <w:vAlign w:val="center"/>
          </w:tcPr>
          <w:p>
            <w:pPr>
              <w:pStyle w:val="TableContents"/>
              <w:bidi w:val="0"/>
              <w:spacing w:before="0" w:after="283"/>
              <w:jc w:val="left"/>
              <w:rPr/>
            </w:pPr>
            <w:r>
              <w:rPr/>
              <w:t> </w:t>
            </w:r>
          </w:p>
        </w:tc>
        <w:tc>
          <w:tcPr>
            <w:tcW w:w="1148"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4,012</w:t>
            </w:r>
          </w:p>
        </w:tc>
        <w:tc>
          <w:tcPr>
            <w:tcW w:w="110" w:type="dxa"/>
            <w:tcBorders/>
            <w:shd w:fill="CCEEFF" w:val="clear"/>
            <w:vAlign w:val="center"/>
          </w:tcPr>
          <w:p>
            <w:pPr>
              <w:pStyle w:val="TableContents"/>
              <w:bidi w:val="0"/>
              <w:spacing w:before="0" w:after="283"/>
              <w:ind w:left="0" w:right="0" w:hanging="0"/>
              <w:jc w:val="left"/>
              <w:rPr/>
            </w:pPr>
            <w:r>
              <w:rPr/>
              <w:t> </w:t>
            </w:r>
            <w:bookmarkStart w:id="262" w:name="xdx_406_eus-gaap--AdjustmentsToAdditiona"/>
            <w:bookmarkEnd w:id="262"/>
          </w:p>
        </w:tc>
      </w:tr>
      <w:tr>
        <w:trPr/>
        <w:tc>
          <w:tcPr>
            <w:tcW w:w="2440" w:type="dxa"/>
            <w:tcBorders/>
            <w:shd w:fill="FFFFFF" w:val="clear"/>
            <w:vAlign w:val="center"/>
          </w:tcPr>
          <w:p>
            <w:pPr>
              <w:pStyle w:val="TableContents"/>
              <w:bidi w:val="0"/>
              <w:spacing w:before="0" w:after="283"/>
              <w:jc w:val="left"/>
              <w:rPr/>
            </w:pPr>
            <w:r>
              <w:rPr/>
              <w:t>Preferred stock dividend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937" w:type="dxa"/>
            <w:tcBorders/>
            <w:shd w:fill="FFFFFF" w:val="clear"/>
            <w:vAlign w:val="center"/>
          </w:tcPr>
          <w:p>
            <w:pPr>
              <w:pStyle w:val="TableContents"/>
              <w:bidi w:val="0"/>
              <w:spacing w:before="0" w:after="283"/>
              <w:jc w:val="right"/>
              <w:rPr/>
            </w:pPr>
            <w:r>
              <w:rPr/>
              <w:t>(3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18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77" w:type="dxa"/>
            <w:tcBorders/>
            <w:shd w:fill="FFFFFF" w:val="clear"/>
            <w:vAlign w:val="center"/>
          </w:tcPr>
          <w:p>
            <w:pPr>
              <w:pStyle w:val="TableContents"/>
              <w:bidi w:val="0"/>
              <w:spacing w:before="0" w:after="283"/>
              <w:jc w:val="left"/>
              <w:rPr/>
            </w:pPr>
            <w:r>
              <w:rPr/>
              <w:t> </w:t>
            </w:r>
          </w:p>
        </w:tc>
        <w:tc>
          <w:tcPr>
            <w:tcW w:w="1148"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(3</w:t>
            </w:r>
          </w:p>
        </w:tc>
        <w:tc>
          <w:tcPr>
            <w:tcW w:w="110" w:type="dxa"/>
            <w:tcBorders/>
            <w:shd w:fill="FFFFFF" w:val="clear"/>
            <w:vAlign w:val="center"/>
          </w:tcPr>
          <w:p>
            <w:pPr>
              <w:pStyle w:val="TableContents"/>
              <w:bidi w:val="0"/>
              <w:spacing w:before="0" w:after="283"/>
              <w:ind w:left="0" w:right="0" w:hanging="0"/>
              <w:jc w:val="left"/>
              <w:rPr/>
            </w:pPr>
            <w:r>
              <w:rPr/>
              <w:t>)</w:t>
            </w:r>
            <w:bookmarkStart w:id="263" w:name="xdx_407_eus-gaap--ProfitLoss_z4dsZbh6gbF"/>
            <w:bookmarkEnd w:id="263"/>
          </w:p>
        </w:tc>
      </w:tr>
      <w:tr>
        <w:trPr/>
        <w:tc>
          <w:tcPr>
            <w:tcW w:w="2440" w:type="dxa"/>
            <w:tcBorders/>
            <w:shd w:fill="CCEEFF" w:val="clear"/>
            <w:vAlign w:val="center"/>
          </w:tcPr>
          <w:p>
            <w:pPr>
              <w:pStyle w:val="TableContents"/>
              <w:bidi w:val="0"/>
              <w:spacing w:before="0" w:after="283"/>
              <w:jc w:val="left"/>
              <w:rPr/>
            </w:pPr>
            <w:r>
              <w:rPr/>
              <w:t>Net loss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559"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37"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82" w:type="dxa"/>
            <w:tcBorders>
              <w:bottom w:val="single" w:sz="8" w:space="0" w:color="000000"/>
            </w:tcBorders>
            <w:shd w:fill="CCEEFF" w:val="clear"/>
            <w:tcMar>
              <w:bottom w:w="28" w:type="dxa"/>
            </w:tcMar>
            <w:vAlign w:val="center"/>
          </w:tcPr>
          <w:p>
            <w:pPr>
              <w:pStyle w:val="TableContents"/>
              <w:bidi w:val="0"/>
              <w:spacing w:before="0" w:after="283"/>
              <w:jc w:val="right"/>
              <w:rPr/>
            </w:pPr>
            <w:r>
              <w:rPr/>
              <w:t>(3,915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47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48" w:type="dxa"/>
            <w:tcBorders>
              <w:bottom w:val="single" w:sz="8" w:space="0" w:color="000000"/>
            </w:tcBorders>
            <w:shd w:fill="CCEEFF" w:val="clear"/>
            <w:tcMar>
              <w:bottom w:w="28" w:type="dxa"/>
            </w:tcMar>
            <w:vAlign w:val="center"/>
          </w:tcPr>
          <w:p>
            <w:pPr>
              <w:pStyle w:val="TableContents"/>
              <w:bidi w:val="0"/>
              <w:spacing w:before="0" w:after="283"/>
              <w:jc w:val="right"/>
              <w:rPr/>
            </w:pPr>
            <w:r>
              <w:rPr/>
              <w:t>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35" w:type="dxa"/>
            <w:tcBorders>
              <w:bottom w:val="single" w:sz="8" w:space="0" w:color="000000"/>
            </w:tcBorders>
            <w:shd w:fill="CCEEFF" w:val="clear"/>
            <w:tcMar>
              <w:bottom w:w="28" w:type="dxa"/>
            </w:tcMar>
            <w:vAlign w:val="center"/>
          </w:tcPr>
          <w:p>
            <w:pPr>
              <w:pStyle w:val="TableContents"/>
              <w:bidi w:val="0"/>
              <w:spacing w:before="0" w:after="283"/>
              <w:jc w:val="right"/>
              <w:rPr/>
            </w:pPr>
            <w:r>
              <w:rPr/>
              <w:t>(3,911</w:t>
            </w:r>
          </w:p>
        </w:tc>
        <w:tc>
          <w:tcPr>
            <w:tcW w:w="110" w:type="dxa"/>
            <w:tcBorders/>
            <w:shd w:fill="CCEEFF" w:val="clear"/>
            <w:vAlign w:val="center"/>
          </w:tcPr>
          <w:p>
            <w:pPr>
              <w:pStyle w:val="TableContents"/>
              <w:bidi w:val="0"/>
              <w:spacing w:before="0" w:after="283"/>
              <w:ind w:left="0" w:right="0" w:hanging="0"/>
              <w:jc w:val="left"/>
              <w:rPr/>
            </w:pPr>
            <w:r>
              <w:rPr/>
              <w:t>)</w:t>
            </w:r>
            <w:bookmarkStart w:id="264" w:name="xdx_431_c20240701__20240930_eus-gaap--St"/>
            <w:bookmarkEnd w:id="264"/>
          </w:p>
        </w:tc>
      </w:tr>
      <w:tr>
        <w:trPr/>
        <w:tc>
          <w:tcPr>
            <w:tcW w:w="2440"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 xml:space="preserve">Balance, June 30, 2024 </w:t>
            </w:r>
            <w:r>
              <w:rPr>
                <w:rFonts w:ascii="Times New Roman;Times;Serif" w:hAnsi="Times New Roman;Times;Serif"/>
                <w:b/>
                <w:i/>
                <w:sz w:val="20"/>
              </w:rPr>
              <w:t>(Unaudited)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265" w:name="xdx_98F_eus-gaap--SharesOutstanding_iS_p"/>
            <w:bookmarkEnd w:id="265"/>
          </w:p>
        </w:tc>
        <w:tc>
          <w:tcPr>
            <w:tcW w:w="1100" w:type="dxa"/>
            <w:tcBorders/>
            <w:shd w:fill="FFFFFF" w:val="clear"/>
            <w:vAlign w:val="center"/>
          </w:tcPr>
          <w:p>
            <w:pPr>
              <w:pStyle w:val="TableContents"/>
              <w:bidi w:val="0"/>
              <w:spacing w:before="0" w:after="283"/>
              <w:jc w:val="right"/>
              <w:rPr>
                <w:b/>
              </w:rPr>
            </w:pPr>
            <w:r>
              <w:rPr>
                <w:b/>
              </w:rPr>
              <w:t>15,110,846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b/>
              </w:rPr>
            </w:pPr>
            <w:r>
              <w:rPr>
                <w:b/>
              </w:rPr>
              <w:t>$</w:t>
            </w:r>
          </w:p>
        </w:tc>
        <w:tc>
          <w:tcPr>
            <w:tcW w:w="559" w:type="dxa"/>
            <w:tcBorders/>
            <w:shd w:fill="FFFFFF" w:val="clear"/>
            <w:vAlign w:val="center"/>
          </w:tcPr>
          <w:p>
            <w:pPr>
              <w:pStyle w:val="TableContents"/>
              <w:bidi w:val="0"/>
              <w:spacing w:before="0" w:after="283"/>
              <w:jc w:val="right"/>
              <w:rPr>
                <w:b/>
              </w:rPr>
            </w:pPr>
            <w:r>
              <w:rPr>
                <w:b/>
              </w:rPr>
              <w:t>15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b/>
              </w:rPr>
            </w:pPr>
            <w:r>
              <w:rPr>
                <w:b/>
              </w:rPr>
              <w:t>$</w:t>
            </w:r>
          </w:p>
        </w:tc>
        <w:tc>
          <w:tcPr>
            <w:tcW w:w="937" w:type="dxa"/>
            <w:tcBorders/>
            <w:shd w:fill="FFFFFF" w:val="clear"/>
            <w:vAlign w:val="center"/>
          </w:tcPr>
          <w:p>
            <w:pPr>
              <w:pStyle w:val="TableContents"/>
              <w:bidi w:val="0"/>
              <w:spacing w:before="0" w:after="283"/>
              <w:jc w:val="right"/>
              <w:rPr>
                <w:b/>
              </w:rPr>
            </w:pPr>
            <w:r>
              <w:rPr>
                <w:b/>
              </w:rPr>
              <w:t>252,311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b/>
              </w:rPr>
            </w:pPr>
            <w:r>
              <w:rPr>
                <w:b/>
              </w:rPr>
              <w:t>$</w:t>
            </w:r>
          </w:p>
        </w:tc>
        <w:tc>
          <w:tcPr>
            <w:tcW w:w="1182" w:type="dxa"/>
            <w:tcBorders/>
            <w:shd w:fill="FFFFFF" w:val="clear"/>
            <w:vAlign w:val="center"/>
          </w:tcPr>
          <w:p>
            <w:pPr>
              <w:pStyle w:val="TableContents"/>
              <w:bidi w:val="0"/>
              <w:spacing w:before="0" w:after="283"/>
              <w:jc w:val="right"/>
              <w:rPr>
                <w:b/>
              </w:rPr>
            </w:pPr>
            <w:r>
              <w:rPr>
                <w:b/>
              </w:rPr>
              <w:t>(252,332</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477" w:type="dxa"/>
            <w:tcBorders/>
            <w:shd w:fill="FFFFFF" w:val="clear"/>
            <w:vAlign w:val="center"/>
          </w:tcPr>
          <w:p>
            <w:pPr>
              <w:pStyle w:val="TableContents"/>
              <w:bidi w:val="0"/>
              <w:spacing w:before="0" w:after="283"/>
              <w:jc w:val="left"/>
              <w:rPr>
                <w:b/>
              </w:rPr>
            </w:pPr>
            <w:r>
              <w:rPr>
                <w:b/>
              </w:rPr>
              <w:t>$</w:t>
            </w:r>
          </w:p>
        </w:tc>
        <w:tc>
          <w:tcPr>
            <w:tcW w:w="1148" w:type="dxa"/>
            <w:tcBorders/>
            <w:shd w:fill="FFFFFF" w:val="clear"/>
            <w:vAlign w:val="center"/>
          </w:tcPr>
          <w:p>
            <w:pPr>
              <w:pStyle w:val="TableContents"/>
              <w:bidi w:val="0"/>
              <w:spacing w:before="0" w:after="283"/>
              <w:jc w:val="right"/>
              <w:rPr>
                <w:b/>
              </w:rPr>
            </w:pPr>
            <w:r>
              <w:rPr>
                <w:b/>
              </w:rPr>
              <w:t>17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b/>
              </w:rPr>
            </w:pPr>
            <w:r>
              <w:rPr>
                <w:b/>
              </w:rPr>
              <w:t>$</w:t>
            </w:r>
          </w:p>
        </w:tc>
        <w:tc>
          <w:tcPr>
            <w:tcW w:w="635" w:type="dxa"/>
            <w:tcBorders/>
            <w:shd w:fill="FFFFFF" w:val="clear"/>
            <w:vAlign w:val="center"/>
          </w:tcPr>
          <w:p>
            <w:pPr>
              <w:pStyle w:val="TableContents"/>
              <w:bidi w:val="0"/>
              <w:spacing w:before="0" w:after="283"/>
              <w:jc w:val="right"/>
              <w:rPr>
                <w:b/>
              </w:rPr>
            </w:pPr>
            <w:r>
              <w:rPr>
                <w:b/>
              </w:rPr>
              <w:t>11</w:t>
            </w:r>
          </w:p>
        </w:tc>
        <w:tc>
          <w:tcPr>
            <w:tcW w:w="110" w:type="dxa"/>
            <w:tcBorders/>
            <w:shd w:fill="FFFFFF" w:val="clear"/>
            <w:vAlign w:val="center"/>
          </w:tcPr>
          <w:p>
            <w:pPr>
              <w:pStyle w:val="TableContents"/>
              <w:bidi w:val="0"/>
              <w:spacing w:before="0" w:after="283"/>
              <w:ind w:left="0" w:right="0" w:hanging="0"/>
              <w:jc w:val="left"/>
              <w:rPr/>
            </w:pPr>
            <w:r>
              <w:rPr/>
              <w:t> </w:t>
            </w:r>
            <w:bookmarkStart w:id="266" w:name="xdx_435_c20240701__20240930_eus-gaap--St"/>
            <w:bookmarkEnd w:id="266"/>
          </w:p>
        </w:tc>
      </w:tr>
      <w:tr>
        <w:trPr/>
        <w:tc>
          <w:tcPr>
            <w:tcW w:w="2440"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Balance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267" w:name="xdx_986_eus-gaap--SharesOutstanding_iS_p"/>
            <w:bookmarkEnd w:id="267"/>
          </w:p>
        </w:tc>
        <w:tc>
          <w:tcPr>
            <w:tcW w:w="1100" w:type="dxa"/>
            <w:tcBorders/>
            <w:shd w:fill="FFFFFF" w:val="clear"/>
            <w:vAlign w:val="center"/>
          </w:tcPr>
          <w:p>
            <w:pPr>
              <w:pStyle w:val="TableContents"/>
              <w:bidi w:val="0"/>
              <w:spacing w:before="0" w:after="283"/>
              <w:jc w:val="right"/>
              <w:rPr>
                <w:b/>
              </w:rPr>
            </w:pPr>
            <w:r>
              <w:rPr>
                <w:b/>
              </w:rPr>
              <w:t>15,110,846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b/>
              </w:rPr>
            </w:pPr>
            <w:r>
              <w:rPr>
                <w:b/>
              </w:rPr>
              <w:t>$</w:t>
            </w:r>
          </w:p>
        </w:tc>
        <w:tc>
          <w:tcPr>
            <w:tcW w:w="559" w:type="dxa"/>
            <w:tcBorders/>
            <w:shd w:fill="FFFFFF" w:val="clear"/>
            <w:vAlign w:val="center"/>
          </w:tcPr>
          <w:p>
            <w:pPr>
              <w:pStyle w:val="TableContents"/>
              <w:bidi w:val="0"/>
              <w:spacing w:before="0" w:after="283"/>
              <w:jc w:val="right"/>
              <w:rPr>
                <w:b/>
              </w:rPr>
            </w:pPr>
            <w:r>
              <w:rPr>
                <w:b/>
              </w:rPr>
              <w:t>15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b/>
              </w:rPr>
            </w:pPr>
            <w:r>
              <w:rPr>
                <w:b/>
              </w:rPr>
              <w:t>$</w:t>
            </w:r>
          </w:p>
        </w:tc>
        <w:tc>
          <w:tcPr>
            <w:tcW w:w="937" w:type="dxa"/>
            <w:tcBorders/>
            <w:shd w:fill="FFFFFF" w:val="clear"/>
            <w:vAlign w:val="center"/>
          </w:tcPr>
          <w:p>
            <w:pPr>
              <w:pStyle w:val="TableContents"/>
              <w:bidi w:val="0"/>
              <w:spacing w:before="0" w:after="283"/>
              <w:jc w:val="right"/>
              <w:rPr>
                <w:b/>
              </w:rPr>
            </w:pPr>
            <w:r>
              <w:rPr>
                <w:b/>
              </w:rPr>
              <w:t>252,311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b/>
              </w:rPr>
            </w:pPr>
            <w:r>
              <w:rPr>
                <w:b/>
              </w:rPr>
              <w:t>$</w:t>
            </w:r>
          </w:p>
        </w:tc>
        <w:tc>
          <w:tcPr>
            <w:tcW w:w="1182" w:type="dxa"/>
            <w:tcBorders/>
            <w:shd w:fill="FFFFFF" w:val="clear"/>
            <w:vAlign w:val="center"/>
          </w:tcPr>
          <w:p>
            <w:pPr>
              <w:pStyle w:val="TableContents"/>
              <w:bidi w:val="0"/>
              <w:spacing w:before="0" w:after="283"/>
              <w:jc w:val="right"/>
              <w:rPr>
                <w:b/>
              </w:rPr>
            </w:pPr>
            <w:r>
              <w:rPr>
                <w:b/>
              </w:rPr>
              <w:t>(252,332</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477" w:type="dxa"/>
            <w:tcBorders/>
            <w:shd w:fill="FFFFFF" w:val="clear"/>
            <w:vAlign w:val="center"/>
          </w:tcPr>
          <w:p>
            <w:pPr>
              <w:pStyle w:val="TableContents"/>
              <w:bidi w:val="0"/>
              <w:spacing w:before="0" w:after="283"/>
              <w:jc w:val="left"/>
              <w:rPr>
                <w:b/>
              </w:rPr>
            </w:pPr>
            <w:r>
              <w:rPr>
                <w:b/>
              </w:rPr>
              <w:t>$</w:t>
            </w:r>
          </w:p>
        </w:tc>
        <w:tc>
          <w:tcPr>
            <w:tcW w:w="1148" w:type="dxa"/>
            <w:tcBorders/>
            <w:shd w:fill="FFFFFF" w:val="clear"/>
            <w:vAlign w:val="center"/>
          </w:tcPr>
          <w:p>
            <w:pPr>
              <w:pStyle w:val="TableContents"/>
              <w:bidi w:val="0"/>
              <w:spacing w:before="0" w:after="283"/>
              <w:jc w:val="right"/>
              <w:rPr>
                <w:b/>
              </w:rPr>
            </w:pPr>
            <w:r>
              <w:rPr>
                <w:b/>
              </w:rPr>
              <w:t>17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b/>
              </w:rPr>
            </w:pPr>
            <w:r>
              <w:rPr>
                <w:b/>
              </w:rPr>
              <w:t>$</w:t>
            </w:r>
          </w:p>
        </w:tc>
        <w:tc>
          <w:tcPr>
            <w:tcW w:w="635" w:type="dxa"/>
            <w:tcBorders/>
            <w:shd w:fill="FFFFFF" w:val="clear"/>
            <w:vAlign w:val="center"/>
          </w:tcPr>
          <w:p>
            <w:pPr>
              <w:pStyle w:val="TableContents"/>
              <w:bidi w:val="0"/>
              <w:spacing w:before="0" w:after="283"/>
              <w:jc w:val="right"/>
              <w:rPr>
                <w:b/>
              </w:rPr>
            </w:pPr>
            <w:r>
              <w:rPr>
                <w:b/>
              </w:rPr>
              <w:t>11</w:t>
            </w:r>
          </w:p>
        </w:tc>
        <w:tc>
          <w:tcPr>
            <w:tcW w:w="110" w:type="dxa"/>
            <w:tcBorders/>
            <w:shd w:fill="FFFFFF" w:val="clear"/>
            <w:vAlign w:val="center"/>
          </w:tcPr>
          <w:p>
            <w:pPr>
              <w:pStyle w:val="TableContents"/>
              <w:bidi w:val="0"/>
              <w:spacing w:before="0" w:after="283"/>
              <w:ind w:left="0" w:right="0" w:hanging="0"/>
              <w:jc w:val="left"/>
              <w:rPr/>
            </w:pPr>
            <w:r>
              <w:rPr/>
              <w:t> </w:t>
            </w:r>
            <w:bookmarkStart w:id="268" w:name="xdx_40B_eus-gaap--StockIssuedDuringPerio"/>
            <w:bookmarkEnd w:id="268"/>
          </w:p>
        </w:tc>
      </w:tr>
      <w:tr>
        <w:trPr/>
        <w:tc>
          <w:tcPr>
            <w:tcW w:w="2440" w:type="dxa"/>
            <w:tcBorders/>
            <w:shd w:fill="CCEEFF" w:val="clear"/>
            <w:vAlign w:val="center"/>
          </w:tcPr>
          <w:p>
            <w:pPr>
              <w:pStyle w:val="TableContents"/>
              <w:bidi w:val="0"/>
              <w:spacing w:before="0" w:after="283"/>
              <w:jc w:val="left"/>
              <w:rPr/>
            </w:pPr>
            <w:r>
              <w:rPr/>
              <w:t>Stock based compensation</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269" w:name="xdx_98D_eus-gaap--StockIssuedDuringPerio"/>
            <w:bookmarkEnd w:id="269"/>
          </w:p>
        </w:tc>
        <w:tc>
          <w:tcPr>
            <w:tcW w:w="1100" w:type="dxa"/>
            <w:tcBorders/>
            <w:shd w:fill="CCEEFF" w:val="clear"/>
            <w:vAlign w:val="center"/>
          </w:tcPr>
          <w:p>
            <w:pPr>
              <w:pStyle w:val="TableContents"/>
              <w:bidi w:val="0"/>
              <w:spacing w:before="0" w:after="283"/>
              <w:jc w:val="right"/>
              <w:rPr/>
            </w:pPr>
            <w:r>
              <w:rPr/>
              <w:t>1,506,250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pPr>
            <w:r>
              <w:rPr/>
              <w:t>1,515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77" w:type="dxa"/>
            <w:tcBorders/>
            <w:shd w:fill="CCEEFF" w:val="clear"/>
            <w:vAlign w:val="center"/>
          </w:tcPr>
          <w:p>
            <w:pPr>
              <w:pStyle w:val="TableContents"/>
              <w:bidi w:val="0"/>
              <w:spacing w:before="0" w:after="283"/>
              <w:jc w:val="left"/>
              <w:rPr/>
            </w:pPr>
            <w:r>
              <w:rPr/>
              <w:t> </w:t>
            </w:r>
          </w:p>
        </w:tc>
        <w:tc>
          <w:tcPr>
            <w:tcW w:w="1148"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1,517</w:t>
            </w:r>
          </w:p>
        </w:tc>
        <w:tc>
          <w:tcPr>
            <w:tcW w:w="110" w:type="dxa"/>
            <w:tcBorders/>
            <w:shd w:fill="CCEEFF" w:val="clear"/>
            <w:vAlign w:val="center"/>
          </w:tcPr>
          <w:p>
            <w:pPr>
              <w:pStyle w:val="TableContents"/>
              <w:bidi w:val="0"/>
              <w:spacing w:before="0" w:after="283"/>
              <w:ind w:left="0" w:right="0" w:hanging="0"/>
              <w:jc w:val="left"/>
              <w:rPr/>
            </w:pPr>
            <w:r>
              <w:rPr/>
              <w:t> </w:t>
            </w:r>
            <w:bookmarkStart w:id="270" w:name="xdx_40C_ecustom--AccretionOfDeemedPrefer"/>
            <w:bookmarkEnd w:id="270"/>
          </w:p>
        </w:tc>
      </w:tr>
      <w:tr>
        <w:trPr/>
        <w:tc>
          <w:tcPr>
            <w:tcW w:w="2440" w:type="dxa"/>
            <w:tcBorders/>
            <w:shd w:fill="FFFFFF" w:val="clear"/>
            <w:vAlign w:val="center"/>
          </w:tcPr>
          <w:p>
            <w:pPr>
              <w:pStyle w:val="TableContents"/>
              <w:bidi w:val="0"/>
              <w:spacing w:before="0" w:after="283"/>
              <w:jc w:val="left"/>
              <w:rPr/>
            </w:pPr>
            <w:r>
              <w:rPr/>
              <w:t>Accretion of deemed preferred stock dividend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937" w:type="dxa"/>
            <w:tcBorders/>
            <w:shd w:fill="FFFFFF" w:val="clear"/>
            <w:vAlign w:val="center"/>
          </w:tcPr>
          <w:p>
            <w:pPr>
              <w:pStyle w:val="TableContents"/>
              <w:bidi w:val="0"/>
              <w:spacing w:before="0" w:after="283"/>
              <w:jc w:val="right"/>
              <w:rPr/>
            </w:pPr>
            <w:r>
              <w:rPr/>
              <w:t>24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18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77" w:type="dxa"/>
            <w:tcBorders/>
            <w:shd w:fill="FFFFFF" w:val="clear"/>
            <w:vAlign w:val="center"/>
          </w:tcPr>
          <w:p>
            <w:pPr>
              <w:pStyle w:val="TableContents"/>
              <w:bidi w:val="0"/>
              <w:spacing w:before="0" w:after="283"/>
              <w:jc w:val="left"/>
              <w:rPr/>
            </w:pPr>
            <w:r>
              <w:rPr/>
              <w:t> </w:t>
            </w:r>
          </w:p>
        </w:tc>
        <w:tc>
          <w:tcPr>
            <w:tcW w:w="1148"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24</w:t>
            </w:r>
          </w:p>
        </w:tc>
        <w:tc>
          <w:tcPr>
            <w:tcW w:w="110" w:type="dxa"/>
            <w:tcBorders/>
            <w:shd w:fill="FFFFFF" w:val="clear"/>
            <w:vAlign w:val="center"/>
          </w:tcPr>
          <w:p>
            <w:pPr>
              <w:pStyle w:val="TableContents"/>
              <w:bidi w:val="0"/>
              <w:spacing w:before="0" w:after="283"/>
              <w:ind w:left="0" w:right="0" w:hanging="0"/>
              <w:jc w:val="left"/>
              <w:rPr/>
            </w:pPr>
            <w:r>
              <w:rPr/>
              <w:t> </w:t>
            </w:r>
            <w:bookmarkStart w:id="271" w:name="xdx_40A_ecustom--DeemedPreferredStockDiv"/>
            <w:bookmarkEnd w:id="271"/>
          </w:p>
        </w:tc>
      </w:tr>
      <w:tr>
        <w:trPr/>
        <w:tc>
          <w:tcPr>
            <w:tcW w:w="2440" w:type="dxa"/>
            <w:tcBorders/>
            <w:shd w:fill="CCEEFF" w:val="clear"/>
            <w:vAlign w:val="center"/>
          </w:tcPr>
          <w:p>
            <w:pPr>
              <w:pStyle w:val="TableContents"/>
              <w:bidi w:val="0"/>
              <w:spacing w:before="0" w:after="283"/>
              <w:jc w:val="left"/>
              <w:rPr/>
            </w:pPr>
            <w:r>
              <w:rPr/>
              <w:t>Deemed preferred stock dividend</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pPr>
            <w:r>
              <w:rPr/>
              <w:t>(24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77" w:type="dxa"/>
            <w:tcBorders/>
            <w:shd w:fill="CCEEFF" w:val="clear"/>
            <w:vAlign w:val="center"/>
          </w:tcPr>
          <w:p>
            <w:pPr>
              <w:pStyle w:val="TableContents"/>
              <w:bidi w:val="0"/>
              <w:spacing w:before="0" w:after="283"/>
              <w:jc w:val="left"/>
              <w:rPr/>
            </w:pPr>
            <w:r>
              <w:rPr/>
              <w:t> </w:t>
            </w:r>
          </w:p>
        </w:tc>
        <w:tc>
          <w:tcPr>
            <w:tcW w:w="1148"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(24</w:t>
            </w:r>
          </w:p>
        </w:tc>
        <w:tc>
          <w:tcPr>
            <w:tcW w:w="110" w:type="dxa"/>
            <w:tcBorders/>
            <w:shd w:fill="CCEEFF" w:val="clear"/>
            <w:vAlign w:val="center"/>
          </w:tcPr>
          <w:p>
            <w:pPr>
              <w:pStyle w:val="TableContents"/>
              <w:bidi w:val="0"/>
              <w:spacing w:before="0" w:after="283"/>
              <w:ind w:left="0" w:right="0" w:hanging="0"/>
              <w:jc w:val="left"/>
              <w:rPr/>
            </w:pPr>
            <w:r>
              <w:rPr/>
              <w:t>)</w:t>
            </w:r>
            <w:bookmarkStart w:id="272" w:name="xdx_406_eus-gaap--AdjustmentsToAdditiona"/>
            <w:bookmarkEnd w:id="272"/>
          </w:p>
        </w:tc>
      </w:tr>
      <w:tr>
        <w:trPr/>
        <w:tc>
          <w:tcPr>
            <w:tcW w:w="2440" w:type="dxa"/>
            <w:tcBorders/>
            <w:shd w:fill="FFFFFF" w:val="clear"/>
            <w:vAlign w:val="center"/>
          </w:tcPr>
          <w:p>
            <w:pPr>
              <w:pStyle w:val="TableContents"/>
              <w:bidi w:val="0"/>
              <w:spacing w:before="0" w:after="283"/>
              <w:jc w:val="left"/>
              <w:rPr/>
            </w:pPr>
            <w:r>
              <w:rPr/>
              <w:t>Preferred stock dividend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937" w:type="dxa"/>
            <w:tcBorders/>
            <w:shd w:fill="FFFFFF" w:val="clear"/>
            <w:vAlign w:val="center"/>
          </w:tcPr>
          <w:p>
            <w:pPr>
              <w:pStyle w:val="TableContents"/>
              <w:bidi w:val="0"/>
              <w:spacing w:before="0" w:after="283"/>
              <w:jc w:val="right"/>
              <w:rPr/>
            </w:pPr>
            <w:r>
              <w:rPr/>
              <w:t>(2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18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77" w:type="dxa"/>
            <w:tcBorders/>
            <w:shd w:fill="FFFFFF" w:val="clear"/>
            <w:vAlign w:val="center"/>
          </w:tcPr>
          <w:p>
            <w:pPr>
              <w:pStyle w:val="TableContents"/>
              <w:bidi w:val="0"/>
              <w:spacing w:before="0" w:after="283"/>
              <w:jc w:val="left"/>
              <w:rPr/>
            </w:pPr>
            <w:r>
              <w:rPr/>
              <w:t> </w:t>
            </w:r>
          </w:p>
        </w:tc>
        <w:tc>
          <w:tcPr>
            <w:tcW w:w="1148"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(2</w:t>
            </w:r>
          </w:p>
        </w:tc>
        <w:tc>
          <w:tcPr>
            <w:tcW w:w="110" w:type="dxa"/>
            <w:tcBorders/>
            <w:shd w:fill="FFFFFF" w:val="clear"/>
            <w:vAlign w:val="center"/>
          </w:tcPr>
          <w:p>
            <w:pPr>
              <w:pStyle w:val="TableContents"/>
              <w:bidi w:val="0"/>
              <w:spacing w:before="0" w:after="283"/>
              <w:ind w:left="0" w:right="0" w:hanging="0"/>
              <w:jc w:val="left"/>
              <w:rPr/>
            </w:pPr>
            <w:r>
              <w:rPr/>
              <w:t>)</w:t>
            </w:r>
            <w:bookmarkStart w:id="273" w:name="xdx_407_eus-gaap--ProfitLoss_zMawWzx3I4d"/>
            <w:bookmarkEnd w:id="273"/>
          </w:p>
        </w:tc>
      </w:tr>
      <w:tr>
        <w:trPr/>
        <w:tc>
          <w:tcPr>
            <w:tcW w:w="2440" w:type="dxa"/>
            <w:tcBorders/>
            <w:shd w:fill="CCEEFF" w:val="clear"/>
            <w:vAlign w:val="center"/>
          </w:tcPr>
          <w:p>
            <w:pPr>
              <w:pStyle w:val="TableContents"/>
              <w:bidi w:val="0"/>
              <w:spacing w:before="0" w:after="283"/>
              <w:jc w:val="left"/>
              <w:rPr/>
            </w:pPr>
            <w:r>
              <w:rPr/>
              <w:t>Net loss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559"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37"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82" w:type="dxa"/>
            <w:tcBorders>
              <w:bottom w:val="single" w:sz="8" w:space="0" w:color="000000"/>
            </w:tcBorders>
            <w:shd w:fill="CCEEFF" w:val="clear"/>
            <w:tcMar>
              <w:bottom w:w="28" w:type="dxa"/>
            </w:tcMar>
            <w:vAlign w:val="center"/>
          </w:tcPr>
          <w:p>
            <w:pPr>
              <w:pStyle w:val="TableContents"/>
              <w:bidi w:val="0"/>
              <w:spacing w:before="0" w:after="283"/>
              <w:jc w:val="right"/>
              <w:rPr/>
            </w:pPr>
            <w:r>
              <w:rPr/>
              <w:t>(1,914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47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48"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35" w:type="dxa"/>
            <w:tcBorders>
              <w:bottom w:val="single" w:sz="8" w:space="0" w:color="000000"/>
            </w:tcBorders>
            <w:shd w:fill="CCEEFF" w:val="clear"/>
            <w:tcMar>
              <w:bottom w:w="28" w:type="dxa"/>
            </w:tcMar>
            <w:vAlign w:val="center"/>
          </w:tcPr>
          <w:p>
            <w:pPr>
              <w:pStyle w:val="TableContents"/>
              <w:bidi w:val="0"/>
              <w:spacing w:before="0" w:after="283"/>
              <w:jc w:val="right"/>
              <w:rPr/>
            </w:pPr>
            <w:r>
              <w:rPr/>
              <w:t>(1,914</w:t>
            </w:r>
          </w:p>
        </w:tc>
        <w:tc>
          <w:tcPr>
            <w:tcW w:w="110" w:type="dxa"/>
            <w:tcBorders/>
            <w:shd w:fill="CCEEFF" w:val="clear"/>
            <w:vAlign w:val="center"/>
          </w:tcPr>
          <w:p>
            <w:pPr>
              <w:pStyle w:val="TableContents"/>
              <w:bidi w:val="0"/>
              <w:spacing w:before="0" w:after="283"/>
              <w:ind w:left="0" w:right="0" w:hanging="0"/>
              <w:jc w:val="left"/>
              <w:rPr/>
            </w:pPr>
            <w:r>
              <w:rPr/>
              <w:t>)</w:t>
            </w:r>
            <w:bookmarkStart w:id="274" w:name="xdx_43F_c20240701__20240930_eus-gaap--St"/>
            <w:bookmarkEnd w:id="274"/>
          </w:p>
        </w:tc>
      </w:tr>
      <w:tr>
        <w:trPr/>
        <w:tc>
          <w:tcPr>
            <w:tcW w:w="2440"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 xml:space="preserve">Balance, September 30, 2024 </w:t>
            </w:r>
            <w:r>
              <w:rPr>
                <w:rFonts w:ascii="Times New Roman;Times;Serif" w:hAnsi="Times New Roman;Times;Serif"/>
                <w:b/>
                <w:i/>
                <w:sz w:val="20"/>
              </w:rPr>
              <w:t>(Unaudited)</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275" w:name="xdx_982_eus-gaap--SharesOutstanding_iE_p"/>
            <w:bookmarkEnd w:id="275"/>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16,617,096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559"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17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937"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253,824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1182"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(254,246</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477"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1148"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17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635"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(388</w:t>
            </w:r>
          </w:p>
        </w:tc>
        <w:tc>
          <w:tcPr>
            <w:tcW w:w="110" w:type="dxa"/>
            <w:tcBorders/>
            <w:shd w:fill="FFFFFF" w:val="clear"/>
            <w:vAlign w:val="center"/>
          </w:tcPr>
          <w:p>
            <w:pPr>
              <w:pStyle w:val="TableContents"/>
              <w:bidi w:val="0"/>
              <w:spacing w:before="0" w:after="283"/>
              <w:ind w:left="0" w:right="0" w:hanging="0"/>
              <w:jc w:val="left"/>
              <w:rPr>
                <w:b/>
              </w:rPr>
            </w:pPr>
            <w:r>
              <w:rPr>
                <w:b/>
              </w:rPr>
              <w:t>)</w:t>
            </w:r>
            <w:bookmarkStart w:id="276" w:name="xdx_434_c20240701__20240930_eus-gaap--St"/>
            <w:bookmarkEnd w:id="276"/>
          </w:p>
        </w:tc>
      </w:tr>
      <w:tr>
        <w:trPr/>
        <w:tc>
          <w:tcPr>
            <w:tcW w:w="2440"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Balance</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277" w:name="xdx_986_eus-gaap--SharesOutstanding_iE_p"/>
            <w:bookmarkEnd w:id="277"/>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16,617,096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559"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17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937"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253,824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1182"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(254,246</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477"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1148"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17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635"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(388</w:t>
            </w:r>
          </w:p>
        </w:tc>
        <w:tc>
          <w:tcPr>
            <w:tcW w:w="110" w:type="dxa"/>
            <w:tcBorders/>
            <w:shd w:fill="FFFFFF" w:val="clear"/>
            <w:vAlign w:val="center"/>
          </w:tcPr>
          <w:p>
            <w:pPr>
              <w:pStyle w:val="TableContents"/>
              <w:bidi w:val="0"/>
              <w:spacing w:before="0" w:after="283"/>
              <w:jc w:val="left"/>
              <w:rPr>
                <w:b/>
              </w:rPr>
            </w:pPr>
            <w:r>
              <w:rPr>
                <w:b/>
              </w:rPr>
              <w:t>)</w:t>
            </w:r>
          </w:p>
        </w:tc>
      </w:tr>
    </w:tbl>
    <w:p>
      <w:pPr>
        <w:pStyle w:val="TextBody"/>
        <w:bidi w:val="0"/>
        <w:spacing w:before="0" w:after="0"/>
        <w:ind w:left="0" w:right="0" w:hanging="0"/>
        <w:jc w:val="center"/>
        <w:rPr>
          <w:caps w:val="false"/>
          <w:smallCaps w:val="false"/>
        </w:rPr>
      </w:pPr>
      <w:r>
        <w:rPr>
          <w:caps w:val="false"/>
          <w:smallCaps w:val="false"/>
        </w:rPr>
        <w:t> </w:t>
      </w:r>
    </w:p>
    <w:tbl>
      <w:tblPr>
        <w:tblW w:w="1240" w:type="dxa"/>
        <w:jc w:val="left"/>
        <w:tblInd w:w="0" w:type="dxa"/>
        <w:tblLayout w:type="fixed"/>
        <w:tblCellMar>
          <w:top w:w="0" w:type="dxa"/>
          <w:left w:w="0" w:type="dxa"/>
          <w:bottom w:w="0" w:type="dxa"/>
          <w:right w:w="0" w:type="dxa"/>
        </w:tblCellMar>
      </w:tblPr>
      <w:tblGrid>
        <w:gridCol w:w="140"/>
        <w:gridCol w:w="1100"/>
      </w:tblGrid>
      <w:tr>
        <w:trPr/>
        <w:tc>
          <w:tcPr>
            <w:tcW w:w="14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bookmarkStart w:id="278" w:name="xdx_F09_zLgwlKSUotEf"/>
            <w:bookmarkEnd w:id="278"/>
            <w:r>
              <w:rPr>
                <w:rFonts w:ascii="Times New Roman;Times;Serif" w:hAnsi="Times New Roman;Times;Serif"/>
                <w:b w:val="false"/>
                <w:i w:val="false"/>
                <w:caps w:val="false"/>
                <w:smallCaps w:val="false"/>
                <w:sz w:val="20"/>
              </w:rPr>
              <w:t>*</w:t>
            </w:r>
          </w:p>
        </w:tc>
        <w:tc>
          <w:tcPr>
            <w:tcW w:w="11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bookmarkStart w:id="279" w:name="xdx_F1A_z4ydLdoyG9Yh"/>
            <w:bookmarkEnd w:id="279"/>
            <w:r>
              <w:rPr>
                <w:rFonts w:ascii="Times New Roman;Times;Serif" w:hAnsi="Times New Roman;Times;Serif"/>
                <w:b w:val="false"/>
                <w:i w:val="false"/>
                <w:caps w:val="false"/>
                <w:smallCaps w:val="false"/>
                <w:sz w:val="20"/>
              </w:rPr>
              <w:t>- less than $1</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unaudited Condensed Consolidated Financial Statements</w:t>
      </w:r>
    </w:p>
    <w:p>
      <w:pPr>
        <w:pStyle w:val="TextBody"/>
        <w:bidi w:val="0"/>
        <w:spacing w:before="0" w:after="0"/>
        <w:ind w:left="0" w:right="0" w:hanging="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6</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80" w:name="vv_006"/>
      <w:bookmarkEnd w:id="280"/>
      <w:r>
        <w:rPr>
          <w:rFonts w:ascii="Times New Roman;Times;Serif" w:hAnsi="Times New Roman;Times;Serif"/>
          <w:b/>
          <w:i w:val="false"/>
          <w:caps w:val="false"/>
          <w:smallCaps w:val="false"/>
          <w:sz w:val="20"/>
        </w:rPr>
        <w:t>STREAMEX CORP.</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CONDENSED CONSOLIDATED STATEMENTS OF CASH FLOWS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Par Value and Share Amounts)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caps w:val="false"/>
          <w:smallCaps w:val="false"/>
          <w:sz w:val="20"/>
        </w:rPr>
        <w:t>(</w:t>
      </w:r>
      <w:r>
        <w:rPr>
          <w:rFonts w:ascii="Times New Roman;Times;Serif" w:hAnsi="Times New Roman;Times;Serif"/>
          <w:b/>
          <w:i w:val="false"/>
          <w:caps w:val="false"/>
          <w:smallCaps w:val="false"/>
          <w:sz w:val="20"/>
        </w:rPr>
        <w:t>Unaudited</w:t>
      </w:r>
      <w:r>
        <w:rPr>
          <w:rFonts w:ascii="Times New Roman;Times;Serif" w:hAnsi="Times New Roman;Times;Serif"/>
          <w:b/>
          <w:i/>
          <w:caps w:val="false"/>
          <w:smallCaps w:val="false"/>
          <w:sz w:val="20"/>
        </w:rPr>
        <w:t>)</w:t>
      </w:r>
    </w:p>
    <w:p>
      <w:pPr>
        <w:pStyle w:val="TextBody"/>
        <w:bidi w:val="0"/>
        <w:spacing w:before="0" w:after="0"/>
        <w:ind w:left="0" w:right="0" w:hanging="0"/>
        <w:jc w:val="center"/>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281" w:name="xdx_307_112_pn3n3_zFLpudjRo9Ec"/>
      <w:bookmarkStart w:id="282" w:name="xdx_307_112_pn3n3_zFLpudjRo9Ec"/>
      <w:bookmarkEnd w:id="282"/>
    </w:p>
    <w:tbl>
      <w:tblPr>
        <w:tblW w:w="10173" w:type="dxa"/>
        <w:jc w:val="left"/>
        <w:tblInd w:w="0" w:type="dxa"/>
        <w:tblLayout w:type="fixed"/>
        <w:tblCellMar>
          <w:top w:w="0" w:type="dxa"/>
          <w:left w:w="0" w:type="dxa"/>
          <w:bottom w:w="0" w:type="dxa"/>
          <w:right w:w="0" w:type="dxa"/>
        </w:tblCellMar>
      </w:tblPr>
      <w:tblGrid>
        <w:gridCol w:w="6335"/>
        <w:gridCol w:w="60"/>
        <w:gridCol w:w="267"/>
        <w:gridCol w:w="1485"/>
        <w:gridCol w:w="171"/>
        <w:gridCol w:w="128"/>
        <w:gridCol w:w="267"/>
        <w:gridCol w:w="1165"/>
        <w:gridCol w:w="295"/>
      </w:tblGrid>
      <w:tr>
        <w:trPr/>
        <w:tc>
          <w:tcPr>
            <w:tcW w:w="633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bookmarkStart w:id="283" w:name="xdx_496_20250101__20250930_zYP4xvPuj8I"/>
            <w:bookmarkEnd w:id="283"/>
          </w:p>
        </w:tc>
        <w:tc>
          <w:tcPr>
            <w:tcW w:w="1752"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171" w:type="dxa"/>
            <w:tcBorders/>
            <w:vAlign w:val="center"/>
          </w:tcPr>
          <w:p>
            <w:pPr>
              <w:pStyle w:val="TableContents"/>
              <w:bidi w:val="0"/>
              <w:spacing w:before="0" w:after="283"/>
              <w:jc w:val="left"/>
              <w:rPr>
                <w:caps w:val="false"/>
                <w:smallCaps w:val="false"/>
              </w:rPr>
            </w:pPr>
            <w:r>
              <w:rPr>
                <w:caps w:val="false"/>
                <w:smallCaps w:val="false"/>
              </w:rPr>
              <w:t> </w:t>
            </w:r>
          </w:p>
        </w:tc>
        <w:tc>
          <w:tcPr>
            <w:tcW w:w="128" w:type="dxa"/>
            <w:tcBorders/>
            <w:vAlign w:val="center"/>
          </w:tcPr>
          <w:p>
            <w:pPr>
              <w:pStyle w:val="TableContents"/>
              <w:bidi w:val="0"/>
              <w:spacing w:before="0" w:after="283"/>
              <w:jc w:val="left"/>
              <w:rPr>
                <w:caps w:val="false"/>
                <w:smallCaps w:val="false"/>
              </w:rPr>
            </w:pPr>
            <w:r>
              <w:rPr>
                <w:caps w:val="false"/>
                <w:smallCaps w:val="false"/>
              </w:rPr>
              <w:t> </w:t>
            </w:r>
            <w:bookmarkStart w:id="284" w:name="xdx_49A_20240101__20240930_zUYiIc7bH61f"/>
            <w:bookmarkEnd w:id="284"/>
          </w:p>
        </w:tc>
        <w:tc>
          <w:tcPr>
            <w:tcW w:w="1432"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2024</w:t>
            </w:r>
          </w:p>
        </w:tc>
        <w:tc>
          <w:tcPr>
            <w:tcW w:w="2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633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483"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nine months ended September 30,</w:t>
            </w:r>
          </w:p>
        </w:tc>
        <w:tc>
          <w:tcPr>
            <w:tcW w:w="2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633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752"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171" w:type="dxa"/>
            <w:tcBorders/>
            <w:vAlign w:val="center"/>
          </w:tcPr>
          <w:p>
            <w:pPr>
              <w:pStyle w:val="TableContents"/>
              <w:bidi w:val="0"/>
              <w:spacing w:before="0" w:after="283"/>
              <w:jc w:val="left"/>
              <w:rPr>
                <w:caps w:val="false"/>
                <w:smallCaps w:val="false"/>
              </w:rPr>
            </w:pPr>
            <w:r>
              <w:rPr>
                <w:caps w:val="false"/>
                <w:smallCaps w:val="false"/>
              </w:rPr>
              <w:t> </w:t>
            </w:r>
          </w:p>
        </w:tc>
        <w:tc>
          <w:tcPr>
            <w:tcW w:w="128" w:type="dxa"/>
            <w:tcBorders/>
            <w:vAlign w:val="center"/>
          </w:tcPr>
          <w:p>
            <w:pPr>
              <w:pStyle w:val="TableContents"/>
              <w:bidi w:val="0"/>
              <w:spacing w:before="0" w:after="283"/>
              <w:jc w:val="left"/>
              <w:rPr>
                <w:caps w:val="false"/>
                <w:smallCaps w:val="false"/>
              </w:rPr>
            </w:pPr>
            <w:r>
              <w:rPr>
                <w:caps w:val="false"/>
                <w:smallCaps w:val="false"/>
              </w:rPr>
              <w:t> </w:t>
            </w:r>
          </w:p>
        </w:tc>
        <w:tc>
          <w:tcPr>
            <w:tcW w:w="1432"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2024</w:t>
            </w:r>
          </w:p>
        </w:tc>
        <w:tc>
          <w:tcPr>
            <w:tcW w:w="295" w:type="dxa"/>
            <w:tcBorders/>
            <w:vAlign w:val="center"/>
          </w:tcPr>
          <w:p>
            <w:pPr>
              <w:pStyle w:val="TableContents"/>
              <w:bidi w:val="0"/>
              <w:spacing w:before="0" w:after="283"/>
              <w:jc w:val="left"/>
              <w:rPr>
                <w:caps w:val="false"/>
                <w:smallCaps w:val="false"/>
              </w:rPr>
            </w:pPr>
            <w:r>
              <w:rPr>
                <w:caps w:val="false"/>
                <w:smallCaps w:val="false"/>
              </w:rPr>
              <w:t> </w:t>
            </w:r>
            <w:bookmarkStart w:id="285" w:name="xdx_405_eus-gaap--NetCashProvidedByUsedI"/>
            <w:bookmarkEnd w:id="285"/>
          </w:p>
        </w:tc>
      </w:tr>
      <w:tr>
        <w:trPr/>
        <w:tc>
          <w:tcPr>
            <w:tcW w:w="633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CASH FLOWS FROM OPERATING ACTIVITIES: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6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8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17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6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6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295"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286" w:name="xdx_40D_eus-gaap--ProfitLoss_i01_maNCPBU"/>
            <w:bookmarkEnd w:id="286"/>
          </w:p>
        </w:tc>
      </w:tr>
      <w:tr>
        <w:trPr/>
        <w:tc>
          <w:tcPr>
            <w:tcW w:w="633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loss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67"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148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(38,751</w:t>
            </w:r>
          </w:p>
        </w:tc>
        <w:tc>
          <w:tcPr>
            <w:tcW w:w="171"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12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67"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116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(9,240</w:t>
            </w:r>
          </w:p>
        </w:tc>
        <w:tc>
          <w:tcPr>
            <w:tcW w:w="29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bookmarkStart w:id="287" w:name="xdx_40F_eus-gaap--AdjustmentsToReconcile"/>
            <w:bookmarkEnd w:id="287"/>
          </w:p>
        </w:tc>
      </w:tr>
      <w:tr>
        <w:trPr/>
        <w:tc>
          <w:tcPr>
            <w:tcW w:w="63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Adjustments to reconcile net loss to cash used in operating activities: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6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8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17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6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6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295" w:type="dxa"/>
            <w:tcBorders/>
            <w:shd w:fill="CCEEFF" w:val="clear"/>
            <w:vAlign w:val="center"/>
          </w:tcPr>
          <w:p>
            <w:pPr>
              <w:pStyle w:val="TableContents"/>
              <w:bidi w:val="0"/>
              <w:spacing w:before="0" w:after="283"/>
              <w:ind w:left="0" w:right="0" w:firstLine="200"/>
              <w:jc w:val="left"/>
              <w:rPr>
                <w:caps w:val="false"/>
                <w:smallCaps w:val="false"/>
              </w:rPr>
            </w:pPr>
            <w:r>
              <w:rPr>
                <w:caps w:val="false"/>
                <w:smallCaps w:val="false"/>
              </w:rPr>
              <w:t> </w:t>
            </w:r>
            <w:bookmarkStart w:id="288" w:name="xdx_40E_eus-gaap--DepreciationAndAmortiz"/>
            <w:bookmarkEnd w:id="288"/>
          </w:p>
        </w:tc>
      </w:tr>
      <w:tr>
        <w:trPr/>
        <w:tc>
          <w:tcPr>
            <w:tcW w:w="633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Depreciation and amortization</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6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8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2,065</w:t>
            </w:r>
          </w:p>
        </w:tc>
        <w:tc>
          <w:tcPr>
            <w:tcW w:w="17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6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6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158</w:t>
            </w:r>
          </w:p>
        </w:tc>
        <w:tc>
          <w:tcPr>
            <w:tcW w:w="295" w:type="dxa"/>
            <w:tcBorders/>
            <w:shd w:fill="FFFFFF" w:val="clear"/>
            <w:vAlign w:val="center"/>
          </w:tcPr>
          <w:p>
            <w:pPr>
              <w:pStyle w:val="TableContents"/>
              <w:bidi w:val="0"/>
              <w:spacing w:before="0" w:after="283"/>
              <w:ind w:left="0" w:right="0" w:firstLine="200"/>
              <w:jc w:val="left"/>
              <w:rPr>
                <w:caps w:val="false"/>
                <w:smallCaps w:val="false"/>
              </w:rPr>
            </w:pPr>
            <w:r>
              <w:rPr>
                <w:caps w:val="false"/>
                <w:smallCaps w:val="false"/>
              </w:rPr>
              <w:t> </w:t>
            </w:r>
            <w:bookmarkStart w:id="289" w:name="xdx_40D_eus-gaap--GainsLossesOnExtinguis"/>
            <w:bookmarkEnd w:id="289"/>
          </w:p>
        </w:tc>
      </w:tr>
      <w:tr>
        <w:trPr/>
        <w:tc>
          <w:tcPr>
            <w:tcW w:w="63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Gain on settlement of debt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6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(196</w:t>
            </w:r>
          </w:p>
        </w:tc>
        <w:tc>
          <w:tcPr>
            <w:tcW w:w="17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2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6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6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295" w:type="dxa"/>
            <w:tcBorders/>
            <w:shd w:fill="CCEEFF" w:val="clear"/>
            <w:vAlign w:val="center"/>
          </w:tcPr>
          <w:p>
            <w:pPr>
              <w:pStyle w:val="TableContents"/>
              <w:bidi w:val="0"/>
              <w:spacing w:before="0" w:after="283"/>
              <w:ind w:left="0" w:right="0" w:firstLine="200"/>
              <w:jc w:val="left"/>
              <w:rPr>
                <w:caps w:val="false"/>
                <w:smallCaps w:val="false"/>
              </w:rPr>
            </w:pPr>
            <w:r>
              <w:rPr>
                <w:caps w:val="false"/>
                <w:smallCaps w:val="false"/>
              </w:rPr>
              <w:t> </w:t>
            </w:r>
            <w:bookmarkStart w:id="290" w:name="xdx_40E_eus-gaap--OtherNoncashExpense_i0"/>
            <w:bookmarkEnd w:id="290"/>
          </w:p>
        </w:tc>
      </w:tr>
      <w:tr>
        <w:trPr/>
        <w:tc>
          <w:tcPr>
            <w:tcW w:w="633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Non-cash lease expense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6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8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96</w:t>
            </w:r>
          </w:p>
        </w:tc>
        <w:tc>
          <w:tcPr>
            <w:tcW w:w="17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6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6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275</w:t>
            </w:r>
          </w:p>
        </w:tc>
        <w:tc>
          <w:tcPr>
            <w:tcW w:w="295" w:type="dxa"/>
            <w:tcBorders/>
            <w:shd w:fill="FFFFFF" w:val="clear"/>
            <w:vAlign w:val="center"/>
          </w:tcPr>
          <w:p>
            <w:pPr>
              <w:pStyle w:val="TableContents"/>
              <w:bidi w:val="0"/>
              <w:spacing w:before="0" w:after="283"/>
              <w:ind w:left="0" w:right="0" w:firstLine="200"/>
              <w:jc w:val="left"/>
              <w:rPr>
                <w:caps w:val="false"/>
                <w:smallCaps w:val="false"/>
              </w:rPr>
            </w:pPr>
            <w:r>
              <w:rPr>
                <w:caps w:val="false"/>
                <w:smallCaps w:val="false"/>
              </w:rPr>
              <w:t> </w:t>
            </w:r>
            <w:bookmarkStart w:id="291" w:name="xdx_408_ecustom--ChangeInFairValueOfDeri"/>
            <w:bookmarkEnd w:id="291"/>
          </w:p>
        </w:tc>
      </w:tr>
      <w:tr>
        <w:trPr/>
        <w:tc>
          <w:tcPr>
            <w:tcW w:w="63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 in fair value of derivative liability</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6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10,214</w:t>
            </w:r>
          </w:p>
        </w:tc>
        <w:tc>
          <w:tcPr>
            <w:tcW w:w="17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6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6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295" w:type="dxa"/>
            <w:tcBorders/>
            <w:shd w:fill="CCEEFF" w:val="clear"/>
            <w:vAlign w:val="center"/>
          </w:tcPr>
          <w:p>
            <w:pPr>
              <w:pStyle w:val="TableContents"/>
              <w:bidi w:val="0"/>
              <w:spacing w:before="0" w:after="283"/>
              <w:ind w:left="0" w:right="0" w:firstLine="200"/>
              <w:jc w:val="left"/>
              <w:rPr>
                <w:caps w:val="false"/>
                <w:smallCaps w:val="false"/>
              </w:rPr>
            </w:pPr>
            <w:r>
              <w:rPr>
                <w:caps w:val="false"/>
                <w:smallCaps w:val="false"/>
              </w:rPr>
              <w:t> </w:t>
            </w:r>
            <w:bookmarkStart w:id="292" w:name="xdx_406_ecustom--CommonStockIssuedForSer"/>
            <w:bookmarkEnd w:id="292"/>
          </w:p>
        </w:tc>
      </w:tr>
      <w:tr>
        <w:trPr/>
        <w:tc>
          <w:tcPr>
            <w:tcW w:w="633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Common stock issued for services rendered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6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8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7,274</w:t>
            </w:r>
          </w:p>
        </w:tc>
        <w:tc>
          <w:tcPr>
            <w:tcW w:w="17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6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6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295" w:type="dxa"/>
            <w:tcBorders/>
            <w:shd w:fill="FFFFFF" w:val="clear"/>
            <w:vAlign w:val="center"/>
          </w:tcPr>
          <w:p>
            <w:pPr>
              <w:pStyle w:val="TableContents"/>
              <w:bidi w:val="0"/>
              <w:spacing w:before="0" w:after="283"/>
              <w:ind w:left="0" w:right="0" w:firstLine="200"/>
              <w:jc w:val="left"/>
              <w:rPr>
                <w:caps w:val="false"/>
                <w:smallCaps w:val="false"/>
              </w:rPr>
            </w:pPr>
            <w:r>
              <w:rPr>
                <w:caps w:val="false"/>
                <w:smallCaps w:val="false"/>
              </w:rPr>
              <w:t> </w:t>
            </w:r>
            <w:bookmarkStart w:id="293" w:name="xdx_402_eus-gaap--AllocatedShareBasedCom"/>
            <w:bookmarkEnd w:id="293"/>
          </w:p>
        </w:tc>
      </w:tr>
      <w:tr>
        <w:trPr/>
        <w:tc>
          <w:tcPr>
            <w:tcW w:w="63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 based compensation</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6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8,286</w:t>
            </w:r>
          </w:p>
        </w:tc>
        <w:tc>
          <w:tcPr>
            <w:tcW w:w="17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6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6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7,010</w:t>
            </w:r>
          </w:p>
        </w:tc>
        <w:tc>
          <w:tcPr>
            <w:tcW w:w="295" w:type="dxa"/>
            <w:tcBorders/>
            <w:shd w:fill="CCEEFF" w:val="clear"/>
            <w:vAlign w:val="center"/>
          </w:tcPr>
          <w:p>
            <w:pPr>
              <w:pStyle w:val="TableContents"/>
              <w:bidi w:val="0"/>
              <w:spacing w:before="0" w:after="283"/>
              <w:ind w:left="0" w:right="0" w:firstLine="200"/>
              <w:jc w:val="left"/>
              <w:rPr>
                <w:caps w:val="false"/>
                <w:smallCaps w:val="false"/>
              </w:rPr>
            </w:pPr>
            <w:r>
              <w:rPr>
                <w:caps w:val="false"/>
                <w:smallCaps w:val="false"/>
              </w:rPr>
              <w:t> </w:t>
            </w:r>
            <w:bookmarkStart w:id="294" w:name="xdx_40E_eus-gaap--DeferredIncomeTaxExpen"/>
            <w:bookmarkEnd w:id="294"/>
          </w:p>
        </w:tc>
      </w:tr>
      <w:tr>
        <w:trPr/>
        <w:tc>
          <w:tcPr>
            <w:tcW w:w="633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Deferred income taxes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6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8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(765</w:t>
            </w:r>
          </w:p>
        </w:tc>
        <w:tc>
          <w:tcPr>
            <w:tcW w:w="17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2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6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6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295" w:type="dxa"/>
            <w:tcBorders/>
            <w:shd w:fill="FFFFFF" w:val="clear"/>
            <w:vAlign w:val="center"/>
          </w:tcPr>
          <w:p>
            <w:pPr>
              <w:pStyle w:val="TableContents"/>
              <w:bidi w:val="0"/>
              <w:spacing w:before="0" w:after="283"/>
              <w:ind w:left="0" w:right="0" w:firstLine="200"/>
              <w:jc w:val="left"/>
              <w:rPr>
                <w:caps w:val="false"/>
                <w:smallCaps w:val="false"/>
              </w:rPr>
            </w:pPr>
            <w:r>
              <w:rPr>
                <w:caps w:val="false"/>
                <w:smallCaps w:val="false"/>
              </w:rPr>
              <w:t> </w:t>
            </w:r>
            <w:bookmarkStart w:id="295" w:name="xdx_40E_ecustom--AllowanceForCreditLosse"/>
            <w:bookmarkEnd w:id="295"/>
          </w:p>
        </w:tc>
      </w:tr>
      <w:tr>
        <w:trPr/>
        <w:tc>
          <w:tcPr>
            <w:tcW w:w="63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Allowance for credit losses on accounts receivable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6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109</w:t>
            </w:r>
          </w:p>
        </w:tc>
        <w:tc>
          <w:tcPr>
            <w:tcW w:w="17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6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6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295" w:type="dxa"/>
            <w:tcBorders/>
            <w:shd w:fill="CCEEFF" w:val="clear"/>
            <w:vAlign w:val="center"/>
          </w:tcPr>
          <w:p>
            <w:pPr>
              <w:pStyle w:val="TableContents"/>
              <w:bidi w:val="0"/>
              <w:spacing w:before="0" w:after="283"/>
              <w:ind w:left="0" w:right="0" w:firstLine="200"/>
              <w:jc w:val="left"/>
              <w:rPr>
                <w:caps w:val="false"/>
                <w:smallCaps w:val="false"/>
              </w:rPr>
            </w:pPr>
            <w:r>
              <w:rPr>
                <w:caps w:val="false"/>
                <w:smallCaps w:val="false"/>
              </w:rPr>
              <w:t> </w:t>
            </w:r>
            <w:bookmarkStart w:id="296" w:name="xdx_408_ecustom--GainOnSettlementAndForg"/>
            <w:bookmarkEnd w:id="296"/>
          </w:p>
        </w:tc>
      </w:tr>
      <w:tr>
        <w:trPr/>
        <w:tc>
          <w:tcPr>
            <w:tcW w:w="633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Gain on settlement and forgiveness of accounts payable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6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8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7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6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6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2,409</w:t>
            </w:r>
          </w:p>
        </w:tc>
        <w:tc>
          <w:tcPr>
            <w:tcW w:w="295" w:type="dxa"/>
            <w:tcBorders/>
            <w:shd w:fill="FFFFFF" w:val="clear"/>
            <w:vAlign w:val="center"/>
          </w:tcPr>
          <w:p>
            <w:pPr>
              <w:pStyle w:val="TableContents"/>
              <w:bidi w:val="0"/>
              <w:spacing w:before="0" w:after="283"/>
              <w:ind w:left="0" w:right="0" w:firstLine="200"/>
              <w:jc w:val="left"/>
              <w:rPr>
                <w:caps w:val="false"/>
                <w:smallCaps w:val="false"/>
              </w:rPr>
            </w:pPr>
            <w:r>
              <w:rPr>
                <w:caps w:val="false"/>
                <w:smallCaps w:val="false"/>
              </w:rPr>
              <w:t> </w:t>
            </w:r>
            <w:bookmarkStart w:id="297" w:name="xdx_400_eus-gaap--ImpairmentOfLongLivedA"/>
            <w:bookmarkEnd w:id="297"/>
          </w:p>
        </w:tc>
      </w:tr>
      <w:tr>
        <w:trPr/>
        <w:tc>
          <w:tcPr>
            <w:tcW w:w="63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Impairment of long-term assets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6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7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6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6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253</w:t>
            </w:r>
          </w:p>
        </w:tc>
        <w:tc>
          <w:tcPr>
            <w:tcW w:w="295"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298" w:name="xdx_405_eus-gaap--IncreaseDecreaseInOper"/>
            <w:bookmarkEnd w:id="298"/>
          </w:p>
        </w:tc>
      </w:tr>
      <w:tr>
        <w:trPr/>
        <w:tc>
          <w:tcPr>
            <w:tcW w:w="633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operating assets and liabilities: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6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8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17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6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6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295" w:type="dxa"/>
            <w:tcBorders/>
            <w:shd w:fill="FFFFFF" w:val="clear"/>
            <w:vAlign w:val="center"/>
          </w:tcPr>
          <w:p>
            <w:pPr>
              <w:pStyle w:val="TableContents"/>
              <w:bidi w:val="0"/>
              <w:spacing w:before="0" w:after="283"/>
              <w:ind w:left="0" w:right="0" w:firstLine="200"/>
              <w:jc w:val="left"/>
              <w:rPr>
                <w:caps w:val="false"/>
                <w:smallCaps w:val="false"/>
              </w:rPr>
            </w:pPr>
            <w:r>
              <w:rPr>
                <w:caps w:val="false"/>
                <w:smallCaps w:val="false"/>
              </w:rPr>
              <w:t> </w:t>
            </w:r>
            <w:bookmarkStart w:id="299" w:name="xdx_400_eus-gaap--IncreaseDecreaseInAcco"/>
            <w:bookmarkEnd w:id="299"/>
          </w:p>
        </w:tc>
      </w:tr>
      <w:tr>
        <w:trPr/>
        <w:tc>
          <w:tcPr>
            <w:tcW w:w="63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Accounts receivable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6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7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6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6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(57</w:t>
            </w:r>
          </w:p>
        </w:tc>
        <w:tc>
          <w:tcPr>
            <w:tcW w:w="295" w:type="dxa"/>
            <w:tcBorders/>
            <w:shd w:fill="CCEEFF" w:val="clear"/>
            <w:vAlign w:val="center"/>
          </w:tcPr>
          <w:p>
            <w:pPr>
              <w:pStyle w:val="TableContents"/>
              <w:bidi w:val="0"/>
              <w:spacing w:before="0" w:after="283"/>
              <w:ind w:left="0" w:right="0" w:firstLine="2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300" w:name="xdx_400_eus-gaap--IncreaseDecreaseInLeas"/>
            <w:bookmarkEnd w:id="300"/>
          </w:p>
        </w:tc>
      </w:tr>
      <w:tr>
        <w:trPr/>
        <w:tc>
          <w:tcPr>
            <w:tcW w:w="633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Lease receivables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6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8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7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6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6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77</w:t>
            </w:r>
          </w:p>
        </w:tc>
        <w:tc>
          <w:tcPr>
            <w:tcW w:w="295" w:type="dxa"/>
            <w:tcBorders/>
            <w:shd w:fill="FFFFFF" w:val="clear"/>
            <w:vAlign w:val="center"/>
          </w:tcPr>
          <w:p>
            <w:pPr>
              <w:pStyle w:val="TableContents"/>
              <w:bidi w:val="0"/>
              <w:spacing w:before="0" w:after="283"/>
              <w:ind w:left="0" w:right="0" w:firstLine="200"/>
              <w:jc w:val="left"/>
              <w:rPr>
                <w:caps w:val="false"/>
                <w:smallCaps w:val="false"/>
              </w:rPr>
            </w:pPr>
            <w:r>
              <w:rPr>
                <w:caps w:val="false"/>
                <w:smallCaps w:val="false"/>
              </w:rPr>
              <w:t> </w:t>
            </w:r>
            <w:bookmarkStart w:id="301" w:name="xdx_402_ecustom--IncreaseDecreaseInSales"/>
            <w:bookmarkEnd w:id="301"/>
          </w:p>
        </w:tc>
      </w:tr>
      <w:tr>
        <w:trPr/>
        <w:tc>
          <w:tcPr>
            <w:tcW w:w="63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tax receivable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6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w:t>
            </w:r>
          </w:p>
        </w:tc>
        <w:tc>
          <w:tcPr>
            <w:tcW w:w="17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2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6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6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295" w:type="dxa"/>
            <w:tcBorders/>
            <w:shd w:fill="CCEEFF" w:val="clear"/>
            <w:vAlign w:val="center"/>
          </w:tcPr>
          <w:p>
            <w:pPr>
              <w:pStyle w:val="TableContents"/>
              <w:bidi w:val="0"/>
              <w:spacing w:before="0" w:after="283"/>
              <w:ind w:left="0" w:right="0" w:firstLine="200"/>
              <w:jc w:val="left"/>
              <w:rPr>
                <w:caps w:val="false"/>
                <w:smallCaps w:val="false"/>
              </w:rPr>
            </w:pPr>
            <w:r>
              <w:rPr>
                <w:caps w:val="false"/>
                <w:smallCaps w:val="false"/>
              </w:rPr>
              <w:t> </w:t>
            </w:r>
            <w:bookmarkStart w:id="302" w:name="xdx_407_eus-gaap--IncreaseDecreaseInOthe"/>
            <w:bookmarkEnd w:id="302"/>
          </w:p>
        </w:tc>
      </w:tr>
      <w:tr>
        <w:trPr/>
        <w:tc>
          <w:tcPr>
            <w:tcW w:w="633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Employee advances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6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8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7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6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6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295" w:type="dxa"/>
            <w:tcBorders/>
            <w:shd w:fill="FFFFFF" w:val="clear"/>
            <w:vAlign w:val="center"/>
          </w:tcPr>
          <w:p>
            <w:pPr>
              <w:pStyle w:val="TableContents"/>
              <w:bidi w:val="0"/>
              <w:spacing w:before="0" w:after="283"/>
              <w:ind w:left="0" w:right="0" w:firstLine="200"/>
              <w:jc w:val="left"/>
              <w:rPr>
                <w:caps w:val="false"/>
                <w:smallCaps w:val="false"/>
              </w:rPr>
            </w:pPr>
            <w:r>
              <w:rPr>
                <w:caps w:val="false"/>
                <w:smallCaps w:val="false"/>
              </w:rPr>
              <w:t> </w:t>
            </w:r>
            <w:bookmarkStart w:id="303" w:name="xdx_407_ecustom--IncreaseDecreaseInUnbil"/>
            <w:bookmarkEnd w:id="303"/>
          </w:p>
        </w:tc>
      </w:tr>
      <w:tr>
        <w:trPr/>
        <w:tc>
          <w:tcPr>
            <w:tcW w:w="63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Unbilled revenue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6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w:t>
            </w:r>
          </w:p>
        </w:tc>
        <w:tc>
          <w:tcPr>
            <w:tcW w:w="17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6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6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295" w:type="dxa"/>
            <w:tcBorders/>
            <w:shd w:fill="CCEEFF" w:val="clear"/>
            <w:vAlign w:val="center"/>
          </w:tcPr>
          <w:p>
            <w:pPr>
              <w:pStyle w:val="TableContents"/>
              <w:bidi w:val="0"/>
              <w:spacing w:before="0" w:after="283"/>
              <w:ind w:left="0" w:right="0" w:firstLine="200"/>
              <w:jc w:val="left"/>
              <w:rPr>
                <w:caps w:val="false"/>
                <w:smallCaps w:val="false"/>
              </w:rPr>
            </w:pPr>
            <w:r>
              <w:rPr>
                <w:caps w:val="false"/>
                <w:smallCaps w:val="false"/>
              </w:rPr>
              <w:t> </w:t>
            </w:r>
            <w:bookmarkStart w:id="304" w:name="xdx_40D_eus-gaap--IncreaseDecreaseInPrep"/>
            <w:bookmarkEnd w:id="304"/>
          </w:p>
        </w:tc>
      </w:tr>
      <w:tr>
        <w:trPr/>
        <w:tc>
          <w:tcPr>
            <w:tcW w:w="633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Prepaid expenses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6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8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(2,033</w:t>
            </w:r>
          </w:p>
        </w:tc>
        <w:tc>
          <w:tcPr>
            <w:tcW w:w="17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2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6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6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93</w:t>
            </w:r>
          </w:p>
        </w:tc>
        <w:tc>
          <w:tcPr>
            <w:tcW w:w="295" w:type="dxa"/>
            <w:tcBorders/>
            <w:shd w:fill="FFFFFF" w:val="clear"/>
            <w:vAlign w:val="center"/>
          </w:tcPr>
          <w:p>
            <w:pPr>
              <w:pStyle w:val="TableContents"/>
              <w:bidi w:val="0"/>
              <w:spacing w:before="0" w:after="283"/>
              <w:ind w:left="0" w:right="0" w:firstLine="200"/>
              <w:jc w:val="left"/>
              <w:rPr>
                <w:caps w:val="false"/>
                <w:smallCaps w:val="false"/>
              </w:rPr>
            </w:pPr>
            <w:r>
              <w:rPr>
                <w:caps w:val="false"/>
                <w:smallCaps w:val="false"/>
              </w:rPr>
              <w:t> </w:t>
            </w:r>
            <w:bookmarkStart w:id="305" w:name="xdx_40B_eus-gaap--IncreaseDecreaseInCont"/>
            <w:bookmarkEnd w:id="305"/>
          </w:p>
        </w:tc>
      </w:tr>
      <w:tr>
        <w:trPr/>
        <w:tc>
          <w:tcPr>
            <w:tcW w:w="63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Customer deposits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6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7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6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6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c>
          <w:tcPr>
            <w:tcW w:w="295" w:type="dxa"/>
            <w:tcBorders/>
            <w:shd w:fill="CCEEFF" w:val="clear"/>
            <w:vAlign w:val="center"/>
          </w:tcPr>
          <w:p>
            <w:pPr>
              <w:pStyle w:val="TableContents"/>
              <w:bidi w:val="0"/>
              <w:spacing w:before="0" w:after="283"/>
              <w:ind w:left="0" w:right="0" w:firstLine="2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306" w:name="xdx_405_eus-gaap--IncreaseDecreaseInAcco"/>
            <w:bookmarkEnd w:id="306"/>
          </w:p>
        </w:tc>
      </w:tr>
      <w:tr>
        <w:trPr/>
        <w:tc>
          <w:tcPr>
            <w:tcW w:w="633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Accounts payable and accrued expenses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6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8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6,399</w:t>
            </w:r>
          </w:p>
        </w:tc>
        <w:tc>
          <w:tcPr>
            <w:tcW w:w="17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6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6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(4,953</w:t>
            </w:r>
          </w:p>
        </w:tc>
        <w:tc>
          <w:tcPr>
            <w:tcW w:w="295" w:type="dxa"/>
            <w:tcBorders/>
            <w:shd w:fill="FFFFFF" w:val="clear"/>
            <w:vAlign w:val="center"/>
          </w:tcPr>
          <w:p>
            <w:pPr>
              <w:pStyle w:val="TableContents"/>
              <w:bidi w:val="0"/>
              <w:spacing w:before="0" w:after="283"/>
              <w:ind w:left="0" w:right="0" w:firstLine="2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307" w:name="xdx_403_eus-gaap--IncreaseDecreaseInOper"/>
            <w:bookmarkEnd w:id="307"/>
          </w:p>
        </w:tc>
      </w:tr>
      <w:tr>
        <w:trPr/>
        <w:tc>
          <w:tcPr>
            <w:tcW w:w="63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lease liabilities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67"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48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w:t>
            </w:r>
          </w:p>
        </w:tc>
        <w:tc>
          <w:tcPr>
            <w:tcW w:w="17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2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67"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6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(307</w:t>
            </w:r>
          </w:p>
        </w:tc>
        <w:tc>
          <w:tcPr>
            <w:tcW w:w="2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308" w:name="xdx_400_eus-gaap--NetCashProvidedByUsedI"/>
            <w:bookmarkEnd w:id="308"/>
          </w:p>
        </w:tc>
      </w:tr>
      <w:tr>
        <w:trPr/>
        <w:tc>
          <w:tcPr>
            <w:tcW w:w="633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cash used in operating activities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67"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48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(7,416</w:t>
            </w:r>
          </w:p>
        </w:tc>
        <w:tc>
          <w:tcPr>
            <w:tcW w:w="171"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12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67"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6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(4,284</w:t>
            </w:r>
          </w:p>
        </w:tc>
        <w:tc>
          <w:tcPr>
            <w:tcW w:w="29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r>
      <w:tr>
        <w:trPr/>
        <w:tc>
          <w:tcPr>
            <w:tcW w:w="633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6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8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17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6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6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295"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309" w:name="xdx_401_eus-gaap--NetCashProvidedByUsedI"/>
            <w:bookmarkEnd w:id="309"/>
          </w:p>
        </w:tc>
      </w:tr>
      <w:tr>
        <w:trPr/>
        <w:tc>
          <w:tcPr>
            <w:tcW w:w="633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CASH FLOWS FROM INVESTING ACTIVITIES: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6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8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17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6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6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295"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310" w:name="xdx_404_eus-gaap--PaymentsToAcquireInves"/>
            <w:bookmarkEnd w:id="310"/>
          </w:p>
        </w:tc>
      </w:tr>
      <w:tr>
        <w:trPr/>
        <w:tc>
          <w:tcPr>
            <w:tcW w:w="63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Purchase of investment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6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(144</w:t>
            </w:r>
          </w:p>
        </w:tc>
        <w:tc>
          <w:tcPr>
            <w:tcW w:w="17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2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6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6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295"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311" w:name="xdx_408_eus-gaap--PaymentsToAcquireBusin"/>
            <w:bookmarkEnd w:id="311"/>
          </w:p>
        </w:tc>
      </w:tr>
      <w:tr>
        <w:trPr/>
        <w:tc>
          <w:tcPr>
            <w:tcW w:w="633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Business acquisition, net of cash acquired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67"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48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365</w:t>
            </w:r>
          </w:p>
        </w:tc>
        <w:tc>
          <w:tcPr>
            <w:tcW w:w="17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67"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6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295"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312" w:name="xdx_40C_eus-gaap--NetCashProvidedByUsedI"/>
            <w:bookmarkEnd w:id="312"/>
          </w:p>
        </w:tc>
      </w:tr>
      <w:tr>
        <w:trPr/>
        <w:tc>
          <w:tcPr>
            <w:tcW w:w="633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cash provided by investing activity</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67"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48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221</w:t>
            </w:r>
          </w:p>
        </w:tc>
        <w:tc>
          <w:tcPr>
            <w:tcW w:w="17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67"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6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2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33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6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8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17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6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6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295"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313" w:name="xdx_407_eus-gaap--NetCashProvidedByUsedI"/>
            <w:bookmarkEnd w:id="313"/>
          </w:p>
        </w:tc>
      </w:tr>
      <w:tr>
        <w:trPr/>
        <w:tc>
          <w:tcPr>
            <w:tcW w:w="633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CASH FLOWS FROM FINANCING ACTIVITIES: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6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8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17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6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6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295"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314" w:name="xdx_40F_ecustom--SaleOfCommonStockUnderA"/>
            <w:bookmarkEnd w:id="314"/>
          </w:p>
        </w:tc>
      </w:tr>
      <w:tr>
        <w:trPr/>
        <w:tc>
          <w:tcPr>
            <w:tcW w:w="633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 of common stock under at-the- market offering, net of transaction costs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6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8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3,882</w:t>
            </w:r>
          </w:p>
        </w:tc>
        <w:tc>
          <w:tcPr>
            <w:tcW w:w="17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6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6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295"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315" w:name="xdx_408_eus-gaap--ProceedsFromOtherEquit"/>
            <w:bookmarkEnd w:id="315"/>
          </w:p>
        </w:tc>
      </w:tr>
      <w:tr>
        <w:trPr/>
        <w:tc>
          <w:tcPr>
            <w:tcW w:w="63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 of common stock</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6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14,390</w:t>
            </w:r>
          </w:p>
        </w:tc>
        <w:tc>
          <w:tcPr>
            <w:tcW w:w="17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6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6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295"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316" w:name="xdx_40F_ecustom--RepaymentOfFinanceOblig"/>
            <w:bookmarkEnd w:id="316"/>
          </w:p>
        </w:tc>
      </w:tr>
      <w:tr>
        <w:trPr/>
        <w:tc>
          <w:tcPr>
            <w:tcW w:w="633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Repayment of finance obligation</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6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8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(176</w:t>
            </w:r>
          </w:p>
        </w:tc>
        <w:tc>
          <w:tcPr>
            <w:tcW w:w="17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2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6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6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295"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317" w:name="xdx_40B_eus-gaap--ProceedsFromRelatedPar"/>
            <w:bookmarkEnd w:id="317"/>
          </w:p>
        </w:tc>
      </w:tr>
      <w:tr>
        <w:trPr/>
        <w:tc>
          <w:tcPr>
            <w:tcW w:w="63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Proceeds from issuance of related party note payable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6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7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6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6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500</w:t>
            </w:r>
          </w:p>
        </w:tc>
        <w:tc>
          <w:tcPr>
            <w:tcW w:w="295"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318" w:name="xdx_40B_eus-gaap--ProceedsFromIssuanceOf"/>
            <w:bookmarkEnd w:id="318"/>
          </w:p>
        </w:tc>
      </w:tr>
      <w:tr>
        <w:trPr/>
        <w:tc>
          <w:tcPr>
            <w:tcW w:w="633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Proceeds from sale of common stock and warrants, net of issuance costs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67"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48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7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67"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6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4,209</w:t>
            </w:r>
          </w:p>
        </w:tc>
        <w:tc>
          <w:tcPr>
            <w:tcW w:w="295"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319" w:name="xdx_407_eus-gaap--NetCashProvidedByUsedI"/>
            <w:bookmarkEnd w:id="319"/>
          </w:p>
        </w:tc>
      </w:tr>
      <w:tr>
        <w:trPr/>
        <w:tc>
          <w:tcPr>
            <w:tcW w:w="633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cash provided by financing activities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67"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48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18,096</w:t>
            </w:r>
          </w:p>
        </w:tc>
        <w:tc>
          <w:tcPr>
            <w:tcW w:w="17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67"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6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4,709</w:t>
            </w:r>
          </w:p>
        </w:tc>
        <w:tc>
          <w:tcPr>
            <w:tcW w:w="2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33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6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8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17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6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6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295"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320" w:name="xdx_40E_eus-gaap--EffectOfExchangeRateOn"/>
            <w:bookmarkEnd w:id="320"/>
          </w:p>
        </w:tc>
      </w:tr>
      <w:tr>
        <w:trPr/>
        <w:tc>
          <w:tcPr>
            <w:tcW w:w="63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 of exchange rate change on cash</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6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17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6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6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295"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321" w:name="xdx_405_eus-gaap--CashCashEquivalentsRes"/>
            <w:bookmarkEnd w:id="321"/>
          </w:p>
        </w:tc>
      </w:tr>
      <w:tr>
        <w:trPr/>
        <w:tc>
          <w:tcPr>
            <w:tcW w:w="633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increase in cash</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67"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48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10,903</w:t>
            </w:r>
          </w:p>
        </w:tc>
        <w:tc>
          <w:tcPr>
            <w:tcW w:w="17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67"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6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425</w:t>
            </w:r>
          </w:p>
        </w:tc>
        <w:tc>
          <w:tcPr>
            <w:tcW w:w="295"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322" w:name="xdx_40F_eus-gaap--CashCashEquivalentsRes"/>
            <w:bookmarkEnd w:id="322"/>
          </w:p>
        </w:tc>
      </w:tr>
      <w:tr>
        <w:trPr/>
        <w:tc>
          <w:tcPr>
            <w:tcW w:w="63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beginning of the period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67"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48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142</w:t>
            </w:r>
          </w:p>
        </w:tc>
        <w:tc>
          <w:tcPr>
            <w:tcW w:w="17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67"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6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190</w:t>
            </w:r>
          </w:p>
        </w:tc>
        <w:tc>
          <w:tcPr>
            <w:tcW w:w="295"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323" w:name="xdx_400_eus-gaap--CashCashEquivalentsRes"/>
            <w:bookmarkEnd w:id="323"/>
          </w:p>
        </w:tc>
      </w:tr>
      <w:tr>
        <w:trPr/>
        <w:tc>
          <w:tcPr>
            <w:tcW w:w="633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Cash, end of the period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67"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148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11,045</w:t>
            </w:r>
          </w:p>
        </w:tc>
        <w:tc>
          <w:tcPr>
            <w:tcW w:w="17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67"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116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615</w:t>
            </w:r>
          </w:p>
        </w:tc>
        <w:tc>
          <w:tcPr>
            <w:tcW w:w="2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33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6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8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17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6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6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295"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324" w:name="xdx_404_eus-gaap--SupplementalCashFlowIn"/>
            <w:bookmarkEnd w:id="324"/>
          </w:p>
        </w:tc>
      </w:tr>
      <w:tr>
        <w:trPr/>
        <w:tc>
          <w:tcPr>
            <w:tcW w:w="633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Supplemental disclosures of cash flow information:</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6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8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17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6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6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295"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325" w:name="xdx_403_eus-gaap--InterestPaidNet_i01_zP"/>
            <w:bookmarkEnd w:id="325"/>
          </w:p>
        </w:tc>
      </w:tr>
      <w:tr>
        <w:trPr/>
        <w:tc>
          <w:tcPr>
            <w:tcW w:w="63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paid during the period for interest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67"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48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7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67"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6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295"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326" w:name="xdx_40B_eus-gaap--IncomeTaxesPaidNet_i01"/>
            <w:bookmarkEnd w:id="326"/>
          </w:p>
        </w:tc>
      </w:tr>
      <w:tr>
        <w:trPr/>
        <w:tc>
          <w:tcPr>
            <w:tcW w:w="633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paid during the period for income taxes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67"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48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7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67"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6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2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33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6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8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17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6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6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295"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327" w:name="xdx_401_eus-gaap--NoncashInvestingAndFin"/>
            <w:bookmarkEnd w:id="327"/>
          </w:p>
        </w:tc>
      </w:tr>
      <w:tr>
        <w:trPr/>
        <w:tc>
          <w:tcPr>
            <w:tcW w:w="633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Non-cash investing and financing activities: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6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8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17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6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6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295"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328" w:name="xdx_40A_ecustom--RecognitionOfDerivative"/>
            <w:bookmarkEnd w:id="328"/>
          </w:p>
        </w:tc>
      </w:tr>
      <w:tr>
        <w:trPr/>
        <w:tc>
          <w:tcPr>
            <w:tcW w:w="63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Recognition of derivative liability as part of business combination (non-cash)</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67"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48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105,498</w:t>
            </w:r>
          </w:p>
        </w:tc>
        <w:tc>
          <w:tcPr>
            <w:tcW w:w="17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67"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6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295"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329" w:name="xdx_40A_ecustom--RecognitionOfAssetsAcqu"/>
            <w:bookmarkEnd w:id="329"/>
          </w:p>
        </w:tc>
      </w:tr>
      <w:tr>
        <w:trPr/>
        <w:tc>
          <w:tcPr>
            <w:tcW w:w="633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Recognition of assets acquired as part of business combination (non-cash)</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67"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48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117,982</w:t>
            </w:r>
          </w:p>
        </w:tc>
        <w:tc>
          <w:tcPr>
            <w:tcW w:w="17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67"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6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295"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330" w:name="xdx_400_ecustom--RecognitionOfLiabilitie"/>
            <w:bookmarkEnd w:id="330"/>
          </w:p>
        </w:tc>
      </w:tr>
      <w:tr>
        <w:trPr/>
        <w:tc>
          <w:tcPr>
            <w:tcW w:w="63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Recognition of liabilities assumed as part of business combination (non-cash)</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67"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48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12,850</w:t>
            </w:r>
          </w:p>
        </w:tc>
        <w:tc>
          <w:tcPr>
            <w:tcW w:w="17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67"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6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295"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331" w:name="xdx_408_ecustom--CommonStockIssuedInSett"/>
            <w:bookmarkEnd w:id="331"/>
          </w:p>
        </w:tc>
      </w:tr>
      <w:tr>
        <w:trPr/>
        <w:tc>
          <w:tcPr>
            <w:tcW w:w="633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Common stock issued in settlement of accounts payable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67"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48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189</w:t>
            </w:r>
          </w:p>
        </w:tc>
        <w:tc>
          <w:tcPr>
            <w:tcW w:w="17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67"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6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122</w:t>
            </w:r>
          </w:p>
        </w:tc>
        <w:tc>
          <w:tcPr>
            <w:tcW w:w="295"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332" w:name="xdx_40B_ecustom--DividendPayableOnPrefer"/>
            <w:bookmarkEnd w:id="332"/>
          </w:p>
        </w:tc>
      </w:tr>
      <w:tr>
        <w:trPr/>
        <w:tc>
          <w:tcPr>
            <w:tcW w:w="63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Dividend payable on preferred stock charged to additional paid-in-capital</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67"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48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c>
          <w:tcPr>
            <w:tcW w:w="17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67"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6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c>
          <w:tcPr>
            <w:tcW w:w="295"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333" w:name="xdx_40C_ecustom--FinancingObligationEnte"/>
            <w:bookmarkEnd w:id="333"/>
          </w:p>
        </w:tc>
      </w:tr>
      <w:tr>
        <w:trPr/>
        <w:tc>
          <w:tcPr>
            <w:tcW w:w="633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Financing obligation entered into in exchange for prepaid insurance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67"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48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1,628</w:t>
            </w:r>
          </w:p>
        </w:tc>
        <w:tc>
          <w:tcPr>
            <w:tcW w:w="17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67"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6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295"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334" w:name="xdx_402_ecustom--CommonStockIssuedForSer"/>
            <w:bookmarkEnd w:id="334"/>
          </w:p>
        </w:tc>
      </w:tr>
      <w:tr>
        <w:trPr/>
        <w:tc>
          <w:tcPr>
            <w:tcW w:w="63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Common stock issued for services included in prepaid expenses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67"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48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125</w:t>
            </w:r>
          </w:p>
        </w:tc>
        <w:tc>
          <w:tcPr>
            <w:tcW w:w="17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67"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6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295"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335" w:name="xdx_408_ecustom--CommonStockIssuedInSett"/>
            <w:bookmarkEnd w:id="335"/>
          </w:p>
        </w:tc>
      </w:tr>
      <w:tr>
        <w:trPr/>
        <w:tc>
          <w:tcPr>
            <w:tcW w:w="633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Common stock issued in settlement of accrued severance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67"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48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7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67"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6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w:t>
            </w:r>
          </w:p>
        </w:tc>
        <w:tc>
          <w:tcPr>
            <w:tcW w:w="295"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336" w:name="xdx_401_eus-gaap--ConversionOfStockAmoun"/>
            <w:bookmarkEnd w:id="336"/>
          </w:p>
        </w:tc>
      </w:tr>
      <w:tr>
        <w:trPr/>
        <w:tc>
          <w:tcPr>
            <w:tcW w:w="63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Series C convertible preferred stock deemed dividend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67"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48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7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67"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6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157</w:t>
            </w:r>
          </w:p>
        </w:tc>
        <w:tc>
          <w:tcPr>
            <w:tcW w:w="295"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337" w:name="xdx_406_ecustom--CommonStockIssuedForCon"/>
            <w:bookmarkEnd w:id="337"/>
          </w:p>
        </w:tc>
      </w:tr>
      <w:tr>
        <w:trPr/>
        <w:tc>
          <w:tcPr>
            <w:tcW w:w="633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Common stock issued for conversion of note payable and accrued interest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67"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48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7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67"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6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509</w:t>
            </w:r>
          </w:p>
        </w:tc>
        <w:tc>
          <w:tcPr>
            <w:tcW w:w="2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unaudited Condensed Consolidated Financial Statements</w:t>
      </w:r>
    </w:p>
    <w:p>
      <w:pPr>
        <w:pStyle w:val="TextBody"/>
        <w:bidi w:val="0"/>
        <w:spacing w:before="0" w:after="0"/>
        <w:ind w:left="0" w:right="0" w:hanging="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7</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38" w:name="vv_007"/>
      <w:bookmarkEnd w:id="338"/>
      <w:r>
        <w:rPr>
          <w:rFonts w:ascii="Times New Roman;Times;Serif" w:hAnsi="Times New Roman;Times;Serif"/>
          <w:b/>
          <w:i w:val="false"/>
          <w:caps w:val="false"/>
          <w:smallCaps w:val="false"/>
          <w:sz w:val="20"/>
        </w:rPr>
        <w:t>STREAMEX CORP.</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THE CONDENSED CONSOLIDATED FINANCIAL STATEMENTS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SEPTEMBER 30, 2025</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caps w:val="false"/>
          <w:smallCaps w:val="false"/>
          <w:sz w:val="20"/>
        </w:rPr>
        <w:t>(</w:t>
      </w:r>
      <w:r>
        <w:rPr>
          <w:rFonts w:ascii="Times New Roman;Times;Serif" w:hAnsi="Times New Roman;Times;Serif"/>
          <w:b/>
          <w:i w:val="false"/>
          <w:caps w:val="false"/>
          <w:smallCaps w:val="false"/>
          <w:sz w:val="20"/>
        </w:rPr>
        <w:t>Unaudited</w:t>
      </w:r>
      <w:r>
        <w:rPr>
          <w:rFonts w:ascii="Times New Roman;Times;Serif" w:hAnsi="Times New Roman;Times;Serif"/>
          <w:b/>
          <w:i/>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339" w:name="xdx_806_eus-gaap--OrganizationConsolidat"/>
      <w:bookmarkEnd w:id="339"/>
      <w:r>
        <w:rPr>
          <w:rFonts w:ascii="Times New Roman;Times;Serif" w:hAnsi="Times New Roman;Times;Serif"/>
          <w:b/>
          <w:i w:val="false"/>
          <w:caps w:val="false"/>
          <w:smallCaps w:val="false"/>
          <w:sz w:val="20"/>
        </w:rPr>
        <w:t>NOTE 1</w:t>
      </w:r>
      <w:r>
        <w:rPr>
          <w:rFonts w:ascii="Times New Roman;Times;Serif" w:hAnsi="Times New Roman;Times;Serif"/>
          <w:b w:val="false"/>
          <w:i w:val="false"/>
          <w:caps w:val="false"/>
          <w:smallCaps w:val="false"/>
          <w:sz w:val="20"/>
        </w:rPr>
        <w:t xml:space="preserve"> – </w:t>
      </w:r>
      <w:bookmarkStart w:id="340" w:name="xdx_825_zWCgNs8GDB68"/>
      <w:bookmarkEnd w:id="340"/>
      <w:r>
        <w:rPr>
          <w:rFonts w:ascii="Times New Roman;Times;Serif" w:hAnsi="Times New Roman;Times;Serif"/>
          <w:b/>
          <w:i w:val="false"/>
          <w:caps w:val="false"/>
          <w:smallCaps w:val="false"/>
          <w:sz w:val="20"/>
        </w:rPr>
        <w:t>NATURE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Business and organization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Streamex Corp. formerly known as BioSig Technologies, Inc. (“Streamex,” “we,” “us,” or the “Company”) is a technology company focused on building digital tools and platforms that facilitate commodity trading and finance. On May 28, 2025, we acquired Streamex Exchange Corporation (“Streamex Exchange”), a software development company based in Vancouver, BC. In connection with this strategic expansion, on September 10, 2025, we changed our corporate name from BioSig Technologies, Inc. to Streamex Corp., and effective September 12, 2025 our common stock began trading on the Nasdaq Stock Market under the ticker “STEX” (formerly “BSGM”).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28, 2025, the Company completed the acquisition of Streamex Exchange, pursuant to the Share Purchase Agreement dated as of May 23, 2025 (the “Merger Agreement”) and amended on May 27, 2025 under the First Amendment to Share Purchase Agreement (the “Amendment”) by and among the Company, BioSig Technologies, Inc., a Delaware corporation, BST Sub ULC, an unlimited liability company organized under the laws of the Province of British Columbia and a wholly-owned subsidiary of the Company (“ExchangeCo”), 1540875 B.C. Ltd., a company organized under the laws of the Province of British Columbia and a wholly-owned subsidiary of the Company (“Callco”), each shareholder of Streamex Exchange (each, a “Shareholder” and, collectively, the “Shareholders”), and 1540873 B.C. Ltd., a company organized under the laws of the Province of British Columbia, as trustee (the “Trustee”) of the trust formed pursuant to the exchange rights agreement to be entered into between the Company, ExchangeCo, Callco, and the Trustee (the “Exchange Rights Agreement”), the board of directors of the Company and Streamex Exchange. Streamex Exchange is a software development company based in Vancouver, BC. The Company focuses on building advanced digital tools and platforms that facilitates commodity trading and finance.</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continues to evaluate opportunities for its subsidiaries ViralClear Pharmaceuticals, Inc. (“ViralClear”) and BioSig AI Sciences, Inc. (“BioSig AI”). As of September 30, 2025 and December 31, 2024, the Company held majority interests of approximately </w:t>
      </w:r>
      <w:bookmarkStart w:id="341" w:name="xdx_904_eus-gaap--EquityMethodInvestment"/>
      <w:bookmarkEnd w:id="341"/>
      <w:r>
        <w:rPr>
          <w:rFonts w:ascii="Times New Roman;Times;Serif" w:hAnsi="Times New Roman;Times;Serif"/>
          <w:b w:val="false"/>
          <w:i w:val="false"/>
          <w:caps w:val="false"/>
          <w:smallCaps w:val="false"/>
          <w:sz w:val="20"/>
        </w:rPr>
        <w:t xml:space="preserve">69.7% and </w:t>
      </w:r>
      <w:bookmarkStart w:id="342" w:name="xdx_900_eus-gaap--EquityMethodInvestment"/>
      <w:bookmarkEnd w:id="342"/>
      <w:r>
        <w:rPr>
          <w:rFonts w:ascii="Times New Roman;Times;Serif" w:hAnsi="Times New Roman;Times;Serif"/>
          <w:b w:val="false"/>
          <w:i w:val="false"/>
          <w:caps w:val="false"/>
          <w:smallCaps w:val="false"/>
          <w:sz w:val="20"/>
        </w:rPr>
        <w:t>69.08% in ViralClear, respectively. As of September 30, 2025 and December 31, 2024, the Company held majority interests of approximately</w:t>
      </w:r>
      <w:bookmarkStart w:id="343" w:name="xdx_901_eus-gaap--EquityMethodInvestment"/>
      <w:bookmarkEnd w:id="343"/>
      <w:r>
        <w:rPr>
          <w:rFonts w:ascii="Times New Roman;Times;Serif" w:hAnsi="Times New Roman;Times;Serif"/>
          <w:b w:val="false"/>
          <w:i w:val="false"/>
          <w:caps w:val="false"/>
          <w:smallCaps w:val="false"/>
          <w:sz w:val="20"/>
        </w:rPr>
        <w:t xml:space="preserve"> </w:t>
      </w:r>
      <w:bookmarkStart w:id="344" w:name="xdx_90A_eus-gaap--EquityMethodInvestment"/>
      <w:bookmarkEnd w:id="344"/>
      <w:r>
        <w:rPr>
          <w:rFonts w:ascii="Times New Roman;Times;Serif" w:hAnsi="Times New Roman;Times;Serif"/>
          <w:b w:val="false"/>
          <w:i w:val="false"/>
          <w:caps w:val="false"/>
          <w:smallCaps w:val="false"/>
          <w:sz w:val="20"/>
        </w:rPr>
        <w:t>84.5% in BioSig AI.</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345" w:name="xdx_802_eus-gaap--SubstantialDoubtAboutG"/>
      <w:bookmarkEnd w:id="345"/>
      <w:r>
        <w:rPr>
          <w:rFonts w:ascii="Times New Roman;Times;Serif" w:hAnsi="Times New Roman;Times;Serif"/>
          <w:b/>
          <w:i w:val="false"/>
          <w:caps w:val="false"/>
          <w:smallCaps w:val="false"/>
          <w:sz w:val="20"/>
        </w:rPr>
        <w:t>NOTE 2</w:t>
      </w:r>
      <w:r>
        <w:rPr>
          <w:rFonts w:ascii="Times New Roman;Times;Serif" w:hAnsi="Times New Roman;Times;Serif"/>
          <w:b w:val="false"/>
          <w:i w:val="false"/>
          <w:caps w:val="false"/>
          <w:smallCaps w:val="false"/>
          <w:sz w:val="20"/>
        </w:rPr>
        <w:t xml:space="preserve"> – </w:t>
      </w:r>
      <w:bookmarkStart w:id="346" w:name="xdx_82E_zANoW7ITxowa"/>
      <w:bookmarkEnd w:id="346"/>
      <w:r>
        <w:rPr>
          <w:rFonts w:ascii="Times New Roman;Times;Serif" w:hAnsi="Times New Roman;Times;Serif"/>
          <w:b/>
          <w:i w:val="false"/>
          <w:caps w:val="false"/>
          <w:smallCaps w:val="false"/>
          <w:sz w:val="20"/>
        </w:rPr>
        <w:t>GOING CONCERN AND MANAGEMENT’S LIQUIDITY PLANS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September 30, 2025, the Company had cash of $</w:t>
      </w:r>
      <w:bookmarkStart w:id="347" w:name="xdx_908_eus-gaap--Cash_iI_pn6n6_c2025093"/>
      <w:bookmarkEnd w:id="347"/>
      <w:r>
        <w:rPr>
          <w:rFonts w:ascii="Times New Roman;Times;Serif" w:hAnsi="Times New Roman;Times;Serif"/>
          <w:b w:val="false"/>
          <w:i w:val="false"/>
          <w:caps w:val="false"/>
          <w:smallCaps w:val="false"/>
          <w:sz w:val="20"/>
        </w:rPr>
        <w:t>11 million and working capital deficit of $</w:t>
      </w:r>
      <w:bookmarkStart w:id="348" w:name="xdx_900_ecustom--WorkingCaptalDeficit_iI"/>
      <w:bookmarkEnd w:id="348"/>
      <w:r>
        <w:rPr>
          <w:rFonts w:ascii="Times New Roman;Times;Serif" w:hAnsi="Times New Roman;Times;Serif"/>
          <w:b w:val="false"/>
          <w:i w:val="false"/>
          <w:caps w:val="false"/>
          <w:smallCaps w:val="false"/>
          <w:sz w:val="20"/>
        </w:rPr>
        <w:t>111 million. During the nine months ended September 30, 2025, the Company used net cash in operating activities of $</w:t>
      </w:r>
      <w:bookmarkStart w:id="349" w:name="xdx_904_eus-gaap--NetCashProvidedByUsedI"/>
      <w:bookmarkEnd w:id="349"/>
      <w:r>
        <w:rPr>
          <w:rFonts w:ascii="Times New Roman;Times;Serif" w:hAnsi="Times New Roman;Times;Serif"/>
          <w:b w:val="false"/>
          <w:i w:val="false"/>
          <w:caps w:val="false"/>
          <w:smallCaps w:val="false"/>
          <w:sz w:val="20"/>
        </w:rPr>
        <w:t>7.4 million. These balances create a liquidity concern, which in turn raises substantial doubt about the Company’s ability to continue as a going concern.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primary source of operating funds since inception has been cash proceeds from sale of equity securities and issuance of debt. The Company has experienced net losses and negative cash flows from operations since inception and expects these conditions to continue for the foreseeable future.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will require additional financing to fund future operations. Further, although the Company began commercial operations, there is no assurance that the Company will be able to generate sufficient cash flow to fund operations. In addition, there can be no assurance that the Company’s ongoing development of its technology platforms will be successfully completed or that future enhancements will achieve market adoption.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Accordingly, the accompanying unaudited condensed consolidated financial statements have been prepared in conformity with U.S. GAAP, which contemplates continuation of the Company as a going concern and the realization of assets and satisfaction of liabilities in the normal course of business. The carrying amounts of assets and liabilities presented in the unaudited condensed consolidated financial statements do not necessarily purport to represent realizable or settlement values. The unaudited condensed consolidated financial statements do not include any adjustment that might result from the outcome of this uncertainty.</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8</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STREAMEX CORP.</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THE CONDENSED CONSOLIDATED FINANCIAL STATEMENTS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SEPTEMBER 30, 2025 </w:t>
      </w:r>
      <w:r>
        <w:rPr>
          <w:rFonts w:ascii="Times New Roman;Times;Serif" w:hAnsi="Times New Roman;Times;Serif"/>
          <w:b/>
          <w:i/>
          <w:caps w:val="false"/>
          <w:smallCaps w:val="false"/>
          <w:sz w:val="20"/>
        </w:rPr>
        <w:t>(</w:t>
      </w:r>
      <w:r>
        <w:rPr>
          <w:rFonts w:ascii="Times New Roman;Times;Serif" w:hAnsi="Times New Roman;Times;Serif"/>
          <w:b/>
          <w:i w:val="false"/>
          <w:caps w:val="false"/>
          <w:smallCaps w:val="false"/>
          <w:sz w:val="20"/>
        </w:rPr>
        <w:t>Unaudited</w:t>
      </w:r>
      <w:r>
        <w:rPr>
          <w:rFonts w:ascii="Times New Roman;Times;Serif" w:hAnsi="Times New Roman;Times;Serif"/>
          <w:b/>
          <w:i/>
          <w:caps w:val="false"/>
          <w:smallCaps w:val="false"/>
          <w:sz w:val="20"/>
        </w:rPr>
        <w: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350" w:name="xdx_80F_eus-gaap--SignificantAccountingP"/>
      <w:bookmarkEnd w:id="350"/>
      <w:r>
        <w:rPr>
          <w:rFonts w:ascii="Times New Roman;Times;Serif" w:hAnsi="Times New Roman;Times;Serif"/>
          <w:b/>
          <w:i w:val="false"/>
          <w:caps w:val="false"/>
          <w:smallCaps w:val="false"/>
          <w:sz w:val="20"/>
        </w:rPr>
        <w:t>NOTE 3</w:t>
      </w:r>
      <w:r>
        <w:rPr>
          <w:rFonts w:ascii="Times New Roman;Times;Serif" w:hAnsi="Times New Roman;Times;Serif"/>
          <w:b w:val="false"/>
          <w:i w:val="false"/>
          <w:caps w:val="false"/>
          <w:smallCaps w:val="false"/>
          <w:sz w:val="20"/>
        </w:rPr>
        <w:t xml:space="preserve"> – </w:t>
      </w:r>
      <w:bookmarkStart w:id="351" w:name="xdx_823_zK7ygfMvDy4a"/>
      <w:bookmarkEnd w:id="351"/>
      <w:r>
        <w:rPr>
          <w:rFonts w:ascii="Times New Roman;Times;Serif" w:hAnsi="Times New Roman;Times;Serif"/>
          <w:b/>
          <w:i w:val="false"/>
          <w:caps w:val="false"/>
          <w:smallCaps w:val="false"/>
          <w:sz w:val="20"/>
        </w:rPr>
        <w:t>SUMMARY OF SIGNIFICANT ACCOUNTING POLICIES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summary of the significant accounting policies applied in the preparation of the accompanying unaudited condensed consolidated financial statements follows.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bookmarkStart w:id="352" w:name="xdx_846_eus-gaap--BasisOfAccountingPolic"/>
      <w:bookmarkEnd w:id="352"/>
      <w:r>
        <w:rPr>
          <w:rFonts w:ascii="Times New Roman;Times;Serif" w:hAnsi="Times New Roman;Times;Serif"/>
          <w:b w:val="false"/>
          <w:i/>
          <w:caps w:val="false"/>
          <w:smallCaps w:val="false"/>
          <w:sz w:val="20"/>
        </w:rPr>
        <w:t>Basis of Presentation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unaudited interim condensed consolidated financial statements should be read in conjunction with the audited consolidated financial statements and the related notes thereto for the year ended December 31, 2024, which are included with the Company’s Annual Report on Form 10-K filed with the United States Securities Exchange Commission (“SEC”) on April 15, 2025. Furthermore, the Company’s significant accounting policies are disclosed in the audited consolidated financial statements for the years ended December 31, 2024 and 2023, included in the Company’s Annual Report on Form 10-K filed with the SEC. Since the date of those audited consolidated financial statements, there have been no changes to the Company’s significant accounting policies, except as noted below.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unaudited interim condensed consolidated financial statements have been prepared in conformity with generally accepted accounting principles in the United States of America (“U.S. GAAP”) for interim financial information and the instructions to Form 10-Q and Rule 8-03 of Regulation S-X. Accordingly, certain information and footnote disclosures normally included in financial statements prepared in accordance with U.S. GAAP have been condensed or omitted. Any reference in these notes to applicable guidance is meant to refer to the authoritative U.S. GAAP as found in the Accounting Standards Codification (“ASC”) and as amended by Accounting Standards Updates (“ASU”) of the Financial Accounting Standards Board (“FASB”).</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opinion of management, the accompanying unaudited interim condensed consolidated financial statements for the periods presented reflect all adjustments, consisting of only normal recurring adjustments, necessary to fairly present the Company’s financial position, results of operations, and cash flows. The December 31, 2024, consolidated balance sheet was derived from audited financial statements, but does not include all U.S. GAAP disclosures. The unaudited condensed consolidated financial statements for the interim periods are not necessarily indicative of results for the full year.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bookmarkStart w:id="353" w:name="xdx_84C_eus-gaap--ConsolidationPolicyTex"/>
      <w:bookmarkEnd w:id="353"/>
      <w:r>
        <w:rPr>
          <w:rFonts w:ascii="Times New Roman;Times;Serif" w:hAnsi="Times New Roman;Times;Serif"/>
          <w:b w:val="false"/>
          <w:i/>
          <w:caps w:val="false"/>
          <w:smallCaps w:val="false"/>
          <w:sz w:val="20"/>
        </w:rPr>
        <w:t>Principles of Consolidation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unaudited condensed consolidated financial statements include the accounts of Streamex and its majority owned subsidiaries, ViralClear and BioSig AI and wholly owned subsidiaries, Streamex Exchange, ExchangeCo, Callco, Streamex Capital LLC, Streamex Tokenization Holdco SPV LLC, and Streamex Gold SPV LLC herein collectively referred to as the “Company” or “STEX”. All significant intercompany accounts and transactions have been eliminated in consolidation.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bookmarkStart w:id="354" w:name="xdx_84E_eus-gaap--SegmentReportingPolicy"/>
      <w:bookmarkEnd w:id="354"/>
      <w:r>
        <w:rPr>
          <w:rFonts w:ascii="Times New Roman;Times;Serif" w:hAnsi="Times New Roman;Times;Serif"/>
          <w:b w:val="false"/>
          <w:i/>
          <w:caps w:val="false"/>
          <w:smallCaps w:val="false"/>
          <w:sz w:val="20"/>
        </w:rPr>
        <w:t>Segment Reporting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determines its operating and reportable segments in accordance with ASC 280, Segment Reporting, based on the financial information regularly reviewed by the Chief Operating Decision Maker (“CODM”) for purposes of performance assessment and resource allocation.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September 30, 2025, the CODM evaluates the Company’s financial performance and allocates resources on a consolidated basis. The Company manages its operations as one integrated business and does not prepare or review discrete financial information for individual business units or subsidiaries. Accordingly, the Company has concluded that it operates as a single reportable segment.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will continue to monitor the CODM’s review practices and internal reporting structure and will update its segment disclosures in future periods if and when discrete financial information is regularly reviewed at a further disaggregated level.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bookmarkStart w:id="355" w:name="xdx_840_eus-gaap--UseOfEstimates_zwZdwqD"/>
      <w:bookmarkEnd w:id="355"/>
      <w:r>
        <w:rPr>
          <w:rFonts w:ascii="Times New Roman;Times;Serif" w:hAnsi="Times New Roman;Times;Serif"/>
          <w:b w:val="false"/>
          <w:i/>
          <w:caps w:val="false"/>
          <w:smallCaps w:val="false"/>
          <w:sz w:val="20"/>
        </w:rPr>
        <w:t>Use of Estimates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prepares its unaudited condensed consolidated financial statements in conformity with U.S. GAAP which requires management to make estimates and assumptions that affect the reported amounts of assets and liabilities at the date of the financial statements and the reported amounts of revenues and expenses during the reporting period. Actual results could differ from those estimates.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bookmarkStart w:id="356" w:name="xdx_84B_eus-gaap--BusinessCombinationsPo"/>
      <w:bookmarkEnd w:id="356"/>
      <w:r>
        <w:rPr>
          <w:rFonts w:ascii="Times New Roman;Times;Serif" w:hAnsi="Times New Roman;Times;Serif"/>
          <w:b w:val="false"/>
          <w:i/>
          <w:caps w:val="false"/>
          <w:smallCaps w:val="false"/>
          <w:sz w:val="20"/>
        </w:rPr>
        <w:t>Business Acquisition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recognizes and measures identifiable tangible and intangible assets acquired and liabilities assumed as of the acquisition date at fair value. Fair value measurements require extensive use of estimates and assumptions, including estimates of future cash flows to be generated by the acquired assets. The operating results of the acquired business are included in our unaudited condensed consolidated financial statements beginning on the date of acquisition. The purchase price is equivalent to the fair value of consideration transferred. Goodwill is recognized for the excess of purchase price over the net fair value of assets acquired and liabilities assumed. Acquisition-related costs are expensed as incurred.</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9</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STREAMEX CORP.</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THE CONDENSED CONSOLIDATED FINANCIAL STATEMENTS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SEPTEMBER 30, 2025 </w:t>
      </w:r>
      <w:r>
        <w:rPr>
          <w:rFonts w:ascii="Times New Roman;Times;Serif" w:hAnsi="Times New Roman;Times;Serif"/>
          <w:b/>
          <w:i/>
          <w:caps w:val="false"/>
          <w:smallCaps w:val="false"/>
          <w:sz w:val="20"/>
        </w:rPr>
        <w:t>(</w:t>
      </w:r>
      <w:r>
        <w:rPr>
          <w:rFonts w:ascii="Times New Roman;Times;Serif" w:hAnsi="Times New Roman;Times;Serif"/>
          <w:b/>
          <w:i w:val="false"/>
          <w:caps w:val="false"/>
          <w:smallCaps w:val="false"/>
          <w:sz w:val="20"/>
        </w:rPr>
        <w:t>Unaudited</w:t>
      </w:r>
      <w:r>
        <w:rPr>
          <w:rFonts w:ascii="Times New Roman;Times;Serif" w:hAnsi="Times New Roman;Times;Serif"/>
          <w:b/>
          <w:i/>
          <w:caps w:val="false"/>
          <w:smallCaps w:val="false"/>
          <w:sz w:val="20"/>
        </w:rPr>
        <w: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bookmarkStart w:id="357" w:name="xdx_847_eus-gaap--IntangibleAssetsFinite"/>
      <w:bookmarkEnd w:id="357"/>
      <w:r>
        <w:rPr>
          <w:rFonts w:ascii="Times New Roman;Times;Serif" w:hAnsi="Times New Roman;Times;Serif"/>
          <w:b w:val="false"/>
          <w:i/>
          <w:caps w:val="false"/>
          <w:smallCaps w:val="false"/>
          <w:sz w:val="20"/>
        </w:rPr>
        <w:t>Intangible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intangible assets consist of trade name, developed technology, legal and compliance framework and patents. Trade name was recognized based on its distinct branding and expected contribution to future revenues. Developed technology was recognized for its proprietary protocols and systems enabling tokenization of real-world assets and its integration with decentralized finance platforms. Legal and compliance framework was recognized based on the cost to recreate the regulatory and legal infrastructure necessary for operations. Trade name was assigned a useful life of </w:t>
      </w:r>
      <w:bookmarkStart w:id="358" w:name="xdx_90E_eus-gaap--FiniteLivedIntangibleA"/>
      <w:bookmarkEnd w:id="358"/>
      <w:r>
        <w:rPr>
          <w:rFonts w:ascii="Times New Roman;Times;Serif" w:hAnsi="Times New Roman;Times;Serif"/>
          <w:b w:val="false"/>
          <w:i w:val="false"/>
          <w:caps w:val="false"/>
          <w:smallCaps w:val="false"/>
          <w:sz w:val="20"/>
        </w:rPr>
        <w:t xml:space="preserve">10 years, developed technology was assigned a useful life of </w:t>
      </w:r>
      <w:bookmarkStart w:id="359" w:name="xdx_907_eus-gaap--FiniteLivedIntangibleA"/>
      <w:bookmarkEnd w:id="359"/>
      <w:r>
        <w:rPr>
          <w:rFonts w:ascii="Times New Roman;Times;Serif" w:hAnsi="Times New Roman;Times;Serif"/>
          <w:b w:val="false"/>
          <w:i w:val="false"/>
          <w:caps w:val="false"/>
          <w:smallCaps w:val="false"/>
          <w:sz w:val="20"/>
        </w:rPr>
        <w:t xml:space="preserve">8 years and legal and compliance framework was assigned a useful life of </w:t>
      </w:r>
      <w:bookmarkStart w:id="360" w:name="xdx_901_eus-gaap--FiniteLivedIntangibleA"/>
      <w:bookmarkEnd w:id="360"/>
      <w:r>
        <w:rPr>
          <w:rFonts w:ascii="Times New Roman;Times;Serif" w:hAnsi="Times New Roman;Times;Serif"/>
          <w:b w:val="false"/>
          <w:i w:val="false"/>
          <w:caps w:val="false"/>
          <w:smallCaps w:val="false"/>
          <w:sz w:val="20"/>
        </w:rPr>
        <w:t xml:space="preserve">7 years. The amortization of the intangible asset is computed using the straight-line method. The Company capitalizes certain initial asset costs in connection with patent applications including registration, documentation and other professional fees associated with the application. Patent costs incurred prior to the Company’s U.S. Food and Drug Administration (“FDA”) 510(k) application on March 28, 2018 were charged to research and development expense as incurred. Commencing upon first in-man trials on February 18 and 19, 2019, capitalized patent costs are amortized to expense over the lesser of the legal patent term or the estimated life of the product of </w:t>
      </w:r>
      <w:bookmarkStart w:id="361" w:name="xdx_901_eus-gaap--FiniteLivedIntangibleA"/>
      <w:bookmarkEnd w:id="361"/>
      <w:r>
        <w:rPr>
          <w:rFonts w:ascii="Times New Roman;Times;Serif" w:hAnsi="Times New Roman;Times;Serif"/>
          <w:b w:val="false"/>
          <w:i w:val="false"/>
          <w:caps w:val="false"/>
          <w:smallCaps w:val="false"/>
          <w:sz w:val="20"/>
        </w:rPr>
        <w:t>20 years.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evaluates its definite-lived intangible assets for impairment whenever events or changes in circumstances indicate that the carrying amount may not be recoverable. Such indicators may include adverse changes in market conditions, legal or regulatory developments, or underperformance relative to expectations. If indicators are present, the Company performs a recoverability test by comparing the asset’s carrying amount to the undiscounted future cash flows expected to result from its use and eventual disposition. If the carrying amount is not recoverable, an impairment loss is recognized for the excess of the carrying amount over the asset’s fair value.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bookmarkStart w:id="362" w:name="xdx_84D_eus-gaap--GoodwillAndIntangibleA"/>
      <w:bookmarkEnd w:id="362"/>
      <w:r>
        <w:rPr>
          <w:rFonts w:ascii="Times New Roman;Times;Serif" w:hAnsi="Times New Roman;Times;Serif"/>
          <w:b w:val="false"/>
          <w:i/>
          <w:caps w:val="false"/>
          <w:smallCaps w:val="false"/>
          <w:sz w:val="20"/>
        </w:rPr>
        <w:t>Goodwill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Goodwill represents the excess of the cost of an acquired business over the fair value assigned to its net assets. Goodwill is not amortized but is tested for impairment at a reporting unit level on an annual basis or when an event occurs, or circumstances change that would more likely than not reduce the fair value of a reporting unit below its carrying amount. Events or changes in circumstances that may trigger interim impairment reviews include, but not limited to, significant adverse changes in business climate, operating results, planned investments in the reporting unit, or an expectation that the carrying amount may not be recoverable, among other factors.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may first assess qualitative factors to determine whether it is more likely than not that the fair value of a reporting unit is less than its carrying amount. If, after assessing the totality of events and circumstances, the Company determines it is more likely than not that the fair value of the reporting unit is greater than it’s carrying amount, an impairment test is unnecessary. If an impairment test is necessary, the Company will estimate the fair value of its related reporting units. If the carrying value of a reporting unit exceeds its fair value, the goodwill of that reporting unit is determined to be impaired, and the Company will proceed with recording an impairment charge equal to the excess of the carrying value over the related fair value.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nine months ended September 30, 2025, the Company recorded goodwill in connection with a business acquisition. In evaluating whether a triggering event occurred during the period, the Company performed a qualitative assessment consistent with the guidance in U.S. GAAP. This assessment considered the totality of events and circumstances, including the existence of substantial doubt to continue as a going concern, and concluded that it is not more likely than not (i.e., less than a 50% likelihood) that the fair value of the reporting unit is below its carrying amount. Based on this assessment, no impairment charges related to goodwill were recorded for the periods presented.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bookmarkStart w:id="363" w:name="xdx_848_eus-gaap--DerivativesPolicyTextB"/>
      <w:bookmarkEnd w:id="363"/>
      <w:r>
        <w:rPr>
          <w:rFonts w:ascii="Times New Roman;Times;Serif" w:hAnsi="Times New Roman;Times;Serif"/>
          <w:b w:val="false"/>
          <w:i/>
          <w:caps w:val="false"/>
          <w:smallCaps w:val="false"/>
          <w:sz w:val="20"/>
        </w:rPr>
        <w:t>Derivative Liability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Exchangeable Shares issued by ExchangeCo in connection with the Acquisition are classified as derivative liabilities under ASC 815 – Derivatives and Hedging. Although legally issued by a Canadian subsidiary, the Exchangeable Shares are exchangeable into the Company’s common stock and include economic rights that are substantially similar to the Company’s common stock, including rights to dividends, liquidation preferences, and voting (via a Special Voting Preferred Stock held by a trustee).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right to exchange Exchangeable Shares into the Company’s common stock is not itself subject to shareholder approval. However, the exercise of certain rights—specifically, the ability to exchange into more than 19.99% of the Company’s outstanding common stock (the “NASDAQ 19.99% limitation”) and the receipt of special voting rights—are contingent upon shareholder approval. As a result, until shareholder approval is obtained and the 19.99% limitation is lifted, the instrument contains exercise contingencies that preclude equity classification under ASC 815-40.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NASDAQ 19.99% limitation is an exercise contingency that restricts the number of the Company’s common shares that can be issued upon exchange prior to shareholder approval. In addition, the Exchange Ratio is subject to adjustment from 1.00 to 1.25 of the Company’s common shares for each Exchangeable Share if shareholder approval is not obtained within six months of issuance. These features, taken together, result in the instrument not qualifying for the ASC 815-10-15-74 scope exception and require classification as a level 3 liability under ASC 815-40.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Accordingly, the Exchangeable Shares are initially recognized as a derivative liability at fair value, measured at $</w:t>
      </w:r>
      <w:bookmarkStart w:id="364" w:name="xdx_902_eus-gaap--DerivativeLiabilityFai"/>
      <w:bookmarkEnd w:id="364"/>
      <w:r>
        <w:rPr>
          <w:rFonts w:ascii="Times New Roman;Times;Serif" w:hAnsi="Times New Roman;Times;Serif"/>
          <w:b w:val="false"/>
          <w:i w:val="false"/>
          <w:caps w:val="false"/>
          <w:smallCaps w:val="false"/>
          <w:sz w:val="20"/>
        </w:rPr>
        <w:t>105.5 million as of the acquisition date, and are remeasured at fair value through earnings each reporting period for as long as the exercise contingencies—including both the NASDAQ 19.99% limitation and shareholder approval—remain in place. As of September 30, 2025, these contingencies have not been resolved; therefore, the Exchangeable Shares continue to be classified as a liability. On November 4, 2025 the Company received shareholder approval. As a result, the conversion cap was removed, and Streamex Exchange shareholders may now convert their Exchangeable Shares into the Company’s common stock. Concurrently, the derivative liability associated with the Exchangeable Shares was reclassified to permanent equity.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bookmarkStart w:id="365" w:name="xdx_840_ecustom--RevenueAndAccountsRecei"/>
      <w:bookmarkEnd w:id="365"/>
      <w:r>
        <w:rPr>
          <w:rFonts w:ascii="Times New Roman;Times;Serif" w:hAnsi="Times New Roman;Times;Serif"/>
          <w:b w:val="false"/>
          <w:i/>
          <w:caps w:val="false"/>
          <w:smallCaps w:val="false"/>
          <w:sz w:val="20"/>
        </w:rPr>
        <w:t>Revenue and Accounts Receivable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had one customer which accounts for </w:t>
      </w:r>
      <w:bookmarkStart w:id="366" w:name="xdx_900_eus-gaap--ConcentrationRiskPerce"/>
      <w:bookmarkEnd w:id="366"/>
      <w:r>
        <w:rPr>
          <w:rFonts w:ascii="Times New Roman;Times;Serif" w:hAnsi="Times New Roman;Times;Serif"/>
          <w:b w:val="false"/>
          <w:i w:val="false"/>
          <w:caps w:val="false"/>
          <w:smallCaps w:val="false"/>
          <w:sz w:val="20"/>
        </w:rPr>
        <w:t>96% of our revenue in the nine months ended September 30,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September 30, 2025 and December 31, 2024, the Company had no customers and three customers representing </w:t>
      </w:r>
      <w:bookmarkStart w:id="367" w:name="xdx_906_eus-gaap--ConcentrationRiskPerce"/>
      <w:bookmarkStart w:id="368" w:name="xdx_909_eus-gaap--ConcentrationRiskPerce"/>
      <w:bookmarkEnd w:id="367"/>
      <w:bookmarkEnd w:id="368"/>
      <w:r>
        <w:rPr>
          <w:rFonts w:ascii="Times New Roman;Times;Serif" w:hAnsi="Times New Roman;Times;Serif"/>
          <w:b w:val="false"/>
          <w:i w:val="false"/>
          <w:caps w:val="false"/>
          <w:smallCaps w:val="false"/>
          <w:sz w:val="20"/>
        </w:rPr>
        <w:t xml:space="preserve">43.6%, </w:t>
      </w:r>
      <w:bookmarkStart w:id="369" w:name="xdx_90B_eus-gaap--ConcentrationRiskPerce"/>
      <w:bookmarkStart w:id="370" w:name="xdx_90E_eus-gaap--ConcentrationRiskPerce"/>
      <w:bookmarkEnd w:id="369"/>
      <w:bookmarkEnd w:id="370"/>
      <w:r>
        <w:rPr>
          <w:rFonts w:ascii="Times New Roman;Times;Serif" w:hAnsi="Times New Roman;Times;Serif"/>
          <w:b w:val="false"/>
          <w:i w:val="false"/>
          <w:caps w:val="false"/>
          <w:smallCaps w:val="false"/>
          <w:sz w:val="20"/>
        </w:rPr>
        <w:t xml:space="preserve">39.9% and </w:t>
      </w:r>
      <w:bookmarkStart w:id="371" w:name="xdx_905_eus-gaap--ConcentrationRiskPerce"/>
      <w:bookmarkStart w:id="372" w:name="xdx_905_eus-gaap--ConcentrationRiskPerce"/>
      <w:bookmarkEnd w:id="371"/>
      <w:bookmarkEnd w:id="372"/>
      <w:r>
        <w:rPr>
          <w:rFonts w:ascii="Times New Roman;Times;Serif" w:hAnsi="Times New Roman;Times;Serif"/>
          <w:b w:val="false"/>
          <w:i w:val="false"/>
          <w:caps w:val="false"/>
          <w:smallCaps w:val="false"/>
          <w:sz w:val="20"/>
        </w:rPr>
        <w:t>12% of the outstanding accounts receivable, respectively.</w:t>
      </w:r>
    </w:p>
    <w:p>
      <w:pPr>
        <w:pStyle w:val="TextBody"/>
        <w:bidi w:val="0"/>
        <w:spacing w:before="0" w:after="0"/>
        <w:ind w:left="0" w:right="0" w:hanging="0"/>
        <w:jc w:val="center"/>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10</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STREAMEX CORP.</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THE CONDENSED CONSOLIDATED FINANCIAL STATEMENTS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SEPTEMBER 30, 2025 </w:t>
      </w:r>
      <w:r>
        <w:rPr>
          <w:rFonts w:ascii="Times New Roman;Times;Serif" w:hAnsi="Times New Roman;Times;Serif"/>
          <w:b/>
          <w:i/>
          <w:caps w:val="false"/>
          <w:smallCaps w:val="false"/>
          <w:sz w:val="20"/>
        </w:rPr>
        <w:t>(</w:t>
      </w:r>
      <w:r>
        <w:rPr>
          <w:rFonts w:ascii="Times New Roman;Times;Serif" w:hAnsi="Times New Roman;Times;Serif"/>
          <w:b/>
          <w:i w:val="false"/>
          <w:caps w:val="false"/>
          <w:smallCaps w:val="false"/>
          <w:sz w:val="20"/>
        </w:rPr>
        <w:t>Unaudited</w:t>
      </w:r>
      <w:r>
        <w:rPr>
          <w:rFonts w:ascii="Times New Roman;Times;Serif" w:hAnsi="Times New Roman;Times;Serif"/>
          <w:b/>
          <w:i/>
          <w:caps w:val="false"/>
          <w:smallCaps w:val="false"/>
          <w:sz w:val="20"/>
        </w:rPr>
        <w: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bookmarkStart w:id="373" w:name="xdx_843_eus-gaap--CreditLossFinancialIns"/>
      <w:bookmarkEnd w:id="373"/>
      <w:r>
        <w:rPr>
          <w:rFonts w:ascii="Times New Roman;Times;Serif" w:hAnsi="Times New Roman;Times;Serif"/>
          <w:b w:val="false"/>
          <w:i/>
          <w:caps w:val="false"/>
          <w:smallCaps w:val="false"/>
          <w:sz w:val="20"/>
        </w:rPr>
        <w:t>Allowance for Credit losses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adjusts accounts receivable down to net realizable value with its allowance methodology. In determining the allowance for credit losses for estimated losses, aged receivables are analyzed periodically by management. Each identified receivable is reviewed based upon historical collection experience, financial condition of the customer and the status of any open or unresolved issues with the customer preventing the payment thereof. Corrective action, if necessary, is taken by the Company to resolve open issues related to unpaid receivables.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allowance for credit losses was $</w:t>
      </w:r>
      <w:bookmarkStart w:id="374" w:name="xdx_90A_eus-gaap--AllowanceForDoubtfulAc"/>
      <w:bookmarkEnd w:id="374"/>
      <w:r>
        <w:rPr>
          <w:rFonts w:ascii="Times New Roman;Times;Serif" w:hAnsi="Times New Roman;Times;Serif"/>
          <w:b w:val="false"/>
          <w:i w:val="false"/>
          <w:caps w:val="false"/>
          <w:smallCaps w:val="false"/>
          <w:sz w:val="20"/>
        </w:rPr>
        <w:t>109 and $</w:t>
      </w:r>
      <w:bookmarkStart w:id="375" w:name="xdx_906_eus-gaap--AllowanceForDoubtfulAc"/>
      <w:bookmarkEnd w:id="375"/>
      <w:r>
        <w:rPr>
          <w:rFonts w:ascii="Times New Roman;Times;Serif" w:hAnsi="Times New Roman;Times;Serif"/>
          <w:b w:val="false"/>
          <w:i w:val="false"/>
          <w:caps w:val="false"/>
          <w:smallCaps w:val="false"/>
          <w:sz w:val="20"/>
        </w:rPr>
        <w:t>0 as of September 30, 2025 and December 31, 2024, respectively. The Company believes that its reserve is adequate, however results may differ in future periods. For the nine months ended September 30, 2025 and 2024, bad debt expense totaled $</w:t>
      </w:r>
      <w:bookmarkStart w:id="376" w:name="xdx_90E_eus-gaap--ProvisionForDoubtfulAc"/>
      <w:bookmarkEnd w:id="376"/>
      <w:r>
        <w:rPr>
          <w:rFonts w:ascii="Times New Roman;Times;Serif" w:hAnsi="Times New Roman;Times;Serif"/>
          <w:b w:val="false"/>
          <w:i w:val="false"/>
          <w:caps w:val="false"/>
          <w:smallCaps w:val="false"/>
          <w:sz w:val="20"/>
        </w:rPr>
        <w:t>109 and $</w:t>
      </w:r>
      <w:bookmarkStart w:id="377" w:name="xdx_905_eus-gaap--ProvisionForDoubtfulAc"/>
      <w:bookmarkEnd w:id="377"/>
      <w:r>
        <w:rPr>
          <w:rFonts w:ascii="Times New Roman;Times;Serif" w:hAnsi="Times New Roman;Times;Serif"/>
          <w:b w:val="false"/>
          <w:i w:val="false"/>
          <w:caps w:val="false"/>
          <w:smallCaps w:val="false"/>
          <w:sz w:val="20"/>
        </w:rPr>
        <w:t>0,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bookmarkStart w:id="378" w:name="xdx_845_eus-gaap--ConcentrationRiskCredi"/>
      <w:bookmarkEnd w:id="378"/>
      <w:r>
        <w:rPr>
          <w:rFonts w:ascii="Times New Roman;Times;Serif" w:hAnsi="Times New Roman;Times;Serif"/>
          <w:b w:val="false"/>
          <w:i/>
          <w:caps w:val="false"/>
          <w:smallCaps w:val="false"/>
          <w:sz w:val="20"/>
        </w:rPr>
        <w:t>Concentrations of Credit Risk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Financial instruments and related items, which potentially subject the Company to concentrations of credit risk, consist primarily of cash. The Company places its cash with credit quality institutions. At times, such amounts may be in excess of the FDIC insurance limit. As of September 30, 2025 and December 31, 2024, deposits in excess of FDIC limits were $</w:t>
      </w:r>
      <w:bookmarkStart w:id="379" w:name="xdx_903_eus-gaap--CashUninsuredAmount_iI"/>
      <w:bookmarkEnd w:id="379"/>
      <w:r>
        <w:rPr>
          <w:rFonts w:ascii="Times New Roman;Times;Serif" w:hAnsi="Times New Roman;Times;Serif"/>
          <w:b w:val="false"/>
          <w:i w:val="false"/>
          <w:caps w:val="false"/>
          <w:smallCaps w:val="false"/>
          <w:sz w:val="20"/>
        </w:rPr>
        <w:t xml:space="preserve">10.4 million and </w:t>
      </w:r>
      <w:bookmarkStart w:id="380" w:name="xdx_902_eus-gaap--CashUninsuredAmount_iI"/>
      <w:bookmarkEnd w:id="380"/>
      <w:r>
        <w:rPr>
          <w:rFonts w:ascii="Times New Roman;Times;Serif" w:hAnsi="Times New Roman;Times;Serif"/>
          <w:b w:val="false"/>
          <w:i w:val="false"/>
          <w:caps w:val="false"/>
          <w:smallCaps w:val="false"/>
          <w:sz w:val="20"/>
        </w:rPr>
        <w:t>nil,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as of September 30, 2025, the Company held $</w:t>
      </w:r>
      <w:bookmarkStart w:id="381" w:name="xdx_905_ecustom--CashHeldInDeposits_iI_p"/>
      <w:bookmarkEnd w:id="381"/>
      <w:r>
        <w:rPr>
          <w:rFonts w:ascii="Times New Roman;Times;Serif" w:hAnsi="Times New Roman;Times;Serif"/>
          <w:b w:val="false"/>
          <w:i w:val="false"/>
          <w:caps w:val="false"/>
          <w:smallCaps w:val="false"/>
          <w:sz w:val="20"/>
        </w:rPr>
        <w:t>0.4 million in cash deposits with a Canadian financial institution that are not insured by the FDIC.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bookmarkStart w:id="382" w:name="xdx_840_eus-gaap--ForeignCurrencyTransac"/>
      <w:bookmarkEnd w:id="382"/>
      <w:r>
        <w:rPr>
          <w:rFonts w:ascii="Times New Roman;Times;Serif" w:hAnsi="Times New Roman;Times;Serif"/>
          <w:b w:val="false"/>
          <w:i/>
          <w:caps w:val="false"/>
          <w:smallCaps w:val="false"/>
          <w:sz w:val="20"/>
        </w:rPr>
        <w:t>Foreign Currency Translations and Transactions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translates the financial statements of foreign subsidiaries whose functional currency is the local currency into U.S. dollars in accordance with ASC 830, </w:t>
      </w:r>
      <w:r>
        <w:rPr>
          <w:rFonts w:ascii="Times New Roman;Times;Serif" w:hAnsi="Times New Roman;Times;Serif"/>
          <w:b w:val="false"/>
          <w:i/>
          <w:caps w:val="false"/>
          <w:smallCaps w:val="false"/>
          <w:sz w:val="20"/>
        </w:rPr>
        <w:t>Foreign Currency Matters</w:t>
      </w:r>
      <w:r>
        <w:rPr>
          <w:rFonts w:ascii="Times New Roman;Times;Serif" w:hAnsi="Times New Roman;Times;Serif"/>
          <w:b w:val="false"/>
          <w:i w:val="false"/>
          <w:caps w:val="false"/>
          <w:smallCaps w:val="false"/>
          <w:sz w:val="20"/>
        </w:rPr>
        <w:t>. Assets and liabilities are translated at exchange rates in effect at the balance sheet date, while revenues and expenses are translated at average exchange rates for the reporting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Translation adjustments resulting from the conversion of foreign currency financial statements are recorded in “Accumulated Other Comprehensive Loss”, a separate component of stockholders’ equity (deficit).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Foreign currency transactions denominated in a currency other than the functional currency are remeasured at the exchange rate in effect on the transaction date. Monetary assets and liabilities are remeasured at period-end exchange rates, and resulting gains or losses are recognized in “Other income (expense), net” in the unaudited condensed consolidated statement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majority of the Company’s transactions are settled in U.S. dollars. The Company does not currently engage in foreign currency hedging activities.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bookmarkStart w:id="383" w:name="xdx_849_ecustom--ConcentrationOfAssetsPo"/>
      <w:bookmarkEnd w:id="383"/>
      <w:r>
        <w:rPr>
          <w:rFonts w:ascii="Times New Roman;Times;Serif" w:hAnsi="Times New Roman;Times;Serif"/>
          <w:b w:val="false"/>
          <w:i/>
          <w:caps w:val="false"/>
          <w:smallCaps w:val="false"/>
          <w:sz w:val="20"/>
        </w:rPr>
        <w:t>Concentration of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September 30, 2025, the Company’s consolidated assets totaled approximately $</w:t>
      </w:r>
      <w:bookmarkStart w:id="384" w:name="xdx_909_eus-gaap--Assets_iI_pn5n6_c20250"/>
      <w:bookmarkEnd w:id="384"/>
      <w:r>
        <w:rPr>
          <w:rFonts w:ascii="Times New Roman;Times;Serif" w:hAnsi="Times New Roman;Times;Serif"/>
          <w:b w:val="false"/>
          <w:i w:val="false"/>
          <w:caps w:val="false"/>
          <w:smallCaps w:val="false"/>
          <w:sz w:val="20"/>
        </w:rPr>
        <w:t xml:space="preserve">130.5 million, of which approximately </w:t>
      </w:r>
      <w:bookmarkStart w:id="385" w:name="xdx_90C_ecustom--ConsolidatedAssetPercen"/>
      <w:bookmarkEnd w:id="385"/>
      <w:r>
        <w:rPr>
          <w:rFonts w:ascii="Times New Roman;Times;Serif" w:hAnsi="Times New Roman;Times;Serif"/>
          <w:b w:val="false"/>
          <w:i w:val="false"/>
          <w:caps w:val="false"/>
          <w:smallCaps w:val="false"/>
          <w:sz w:val="20"/>
        </w:rPr>
        <w:t>11.36% ($</w:t>
      </w:r>
      <w:bookmarkStart w:id="386" w:name="xdx_908_eus-gaap--Assets_iI_pn5n6_c20250"/>
      <w:bookmarkEnd w:id="386"/>
      <w:r>
        <w:rPr>
          <w:rFonts w:ascii="Times New Roman;Times;Serif" w:hAnsi="Times New Roman;Times;Serif"/>
          <w:b w:val="false"/>
          <w:i w:val="false"/>
          <w:caps w:val="false"/>
          <w:smallCaps w:val="false"/>
          <w:sz w:val="20"/>
        </w:rPr>
        <w:t xml:space="preserve">14.8 million) were located in the United States and </w:t>
      </w:r>
      <w:bookmarkStart w:id="387" w:name="xdx_906_ecustom--ConsolidatedAssetPercen"/>
      <w:bookmarkEnd w:id="387"/>
      <w:r>
        <w:rPr>
          <w:rFonts w:ascii="Times New Roman;Times;Serif" w:hAnsi="Times New Roman;Times;Serif"/>
          <w:b w:val="false"/>
          <w:i w:val="false"/>
          <w:caps w:val="false"/>
          <w:smallCaps w:val="false"/>
          <w:sz w:val="20"/>
        </w:rPr>
        <w:t>88.64% ($</w:t>
      </w:r>
      <w:bookmarkStart w:id="388" w:name="xdx_905_eus-gaap--Assets_iI_pn5n6_c20250"/>
      <w:bookmarkEnd w:id="388"/>
      <w:r>
        <w:rPr>
          <w:rFonts w:ascii="Times New Roman;Times;Serif" w:hAnsi="Times New Roman;Times;Serif"/>
          <w:b w:val="false"/>
          <w:i w:val="false"/>
          <w:caps w:val="false"/>
          <w:smallCaps w:val="false"/>
          <w:sz w:val="20"/>
        </w:rPr>
        <w:t>115.7 million) were located in Canada. The Canadian assets are held through ExchangeCo, a wholly owned subsidiary of the Company, and relate to the Company’s Streamex Exchange business. These assets consist primarily of goodwill and intangible assets ($</w:t>
      </w:r>
      <w:bookmarkStart w:id="389" w:name="xdx_906_eus-gaap--IntangibleAssetsNetInc"/>
      <w:bookmarkEnd w:id="389"/>
      <w:r>
        <w:rPr>
          <w:rFonts w:ascii="Times New Roman;Times;Serif" w:hAnsi="Times New Roman;Times;Serif"/>
          <w:b w:val="false"/>
          <w:i w:val="false"/>
          <w:caps w:val="false"/>
          <w:smallCaps w:val="false"/>
          <w:sz w:val="20"/>
        </w:rPr>
        <w:t>115.0 million), cash ($</w:t>
      </w:r>
      <w:bookmarkStart w:id="390" w:name="xdx_908_eus-gaap--CashEquivalentsAtCarry"/>
      <w:bookmarkEnd w:id="390"/>
      <w:r>
        <w:rPr>
          <w:rFonts w:ascii="Times New Roman;Times;Serif" w:hAnsi="Times New Roman;Times;Serif"/>
          <w:b w:val="false"/>
          <w:i w:val="false"/>
          <w:caps w:val="false"/>
          <w:smallCaps w:val="false"/>
          <w:sz w:val="20"/>
        </w:rPr>
        <w:t>432 thousand), sales tax receivable ($</w:t>
      </w:r>
      <w:bookmarkStart w:id="391" w:name="xdx_90F_ecustom--SalesTaxReceivable_iI_p"/>
      <w:bookmarkEnd w:id="391"/>
      <w:r>
        <w:rPr>
          <w:rFonts w:ascii="Times New Roman;Times;Serif" w:hAnsi="Times New Roman;Times;Serif"/>
          <w:b w:val="false"/>
          <w:i w:val="false"/>
          <w:caps w:val="false"/>
          <w:smallCaps w:val="false"/>
          <w:sz w:val="20"/>
        </w:rPr>
        <w:t>39 thousand), amounts due from a related party ($</w:t>
      </w:r>
      <w:bookmarkStart w:id="392" w:name="xdx_90A_eus-gaap--OtherReceivables_iI_pn"/>
      <w:bookmarkEnd w:id="392"/>
      <w:r>
        <w:rPr>
          <w:rFonts w:ascii="Times New Roman;Times;Serif" w:hAnsi="Times New Roman;Times;Serif"/>
          <w:b w:val="false"/>
          <w:i w:val="false"/>
          <w:caps w:val="false"/>
          <w:smallCaps w:val="false"/>
          <w:sz w:val="20"/>
        </w:rPr>
        <w:t>11 thousand), prepaid expenses ($</w:t>
      </w:r>
      <w:bookmarkStart w:id="393" w:name="xdx_90F_eus-gaap--PrepaidExpenseCurrentA"/>
      <w:bookmarkEnd w:id="393"/>
      <w:r>
        <w:rPr>
          <w:rFonts w:ascii="Times New Roman;Times;Serif" w:hAnsi="Times New Roman;Times;Serif"/>
          <w:b w:val="false"/>
          <w:i w:val="false"/>
          <w:caps w:val="false"/>
          <w:smallCaps w:val="false"/>
          <w:sz w:val="20"/>
        </w:rPr>
        <w:t>27 thousand), and investments ($</w:t>
      </w:r>
      <w:bookmarkStart w:id="394" w:name="xdx_904_eus-gaap--LongTermInvestments_iI"/>
      <w:bookmarkEnd w:id="394"/>
      <w:r>
        <w:rPr>
          <w:rFonts w:ascii="Times New Roman;Times;Serif" w:hAnsi="Times New Roman;Times;Serif"/>
          <w:b w:val="false"/>
          <w:i w:val="false"/>
          <w:caps w:val="false"/>
          <w:smallCaps w:val="false"/>
          <w:sz w:val="20"/>
        </w:rPr>
        <w:t>142 thousand).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evaluates geographic concentrations in accordance with ASC 275, </w:t>
      </w:r>
      <w:r>
        <w:rPr>
          <w:rFonts w:ascii="Times New Roman;Times;Serif" w:hAnsi="Times New Roman;Times;Serif"/>
          <w:b w:val="false"/>
          <w:i/>
          <w:caps w:val="false"/>
          <w:smallCaps w:val="false"/>
          <w:sz w:val="20"/>
        </w:rPr>
        <w:t>Risks and Uncertainties</w:t>
      </w:r>
      <w:r>
        <w:rPr>
          <w:rFonts w:ascii="Times New Roman;Times;Serif" w:hAnsi="Times New Roman;Times;Serif"/>
          <w:b w:val="false"/>
          <w:i w:val="false"/>
          <w:caps w:val="false"/>
          <w:smallCaps w:val="false"/>
          <w:sz w:val="20"/>
        </w:rPr>
        <w:t>, and considers potential exposure to economic, regulatory, and currency-related risks. While the Canadian-based assets represent a significant portion of consolidated assets, they are not currently subject to material operational, legal, or foreign exchange restrictions. Management believes that the Company is not exposed to heightened risk from geographic concentration, given the nature of the assets, the stability of the Canadian jurisdiction, and the strategic alignment of the Streamex Exchange business with the Company’s broader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bookmarkStart w:id="395" w:name="xdx_848_eus-gaap--EarningsPerSharePolicy"/>
      <w:bookmarkEnd w:id="395"/>
      <w:r>
        <w:rPr>
          <w:rFonts w:ascii="Times New Roman;Times;Serif" w:hAnsi="Times New Roman;Times;Serif"/>
          <w:b w:val="false"/>
          <w:i/>
          <w:caps w:val="false"/>
          <w:smallCaps w:val="false"/>
          <w:sz w:val="20"/>
        </w:rPr>
        <w:t>Net Income (loss) Per Common Share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computes earnings (loss) per share under Accounting Standards Codification subtopic 260-10, Earnings Per Share (“ASC 260-10”). Net loss per common share is computed by dividing net loss by the weighted average number of shares of common stock outstanding during the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periods in which the Company reports net income and has outstanding convertible preferred stock, diluted earnings per share is calculated using the if-converted method, as required by ASC 260-10. This method assumes conversion of the preferred shares into common stock at the beginning of the period (or at issuance, if later), and includes the resulting common shares in the denominator of diluted EPS, while adjusting the numerator to exclude preferred dividends.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Diluted earnings per share, if presented, would include the dilution that would occur upon the exercise or conversion of all potentially dilutive securities into common stock using the “treasury stock” and/or “if converted” methods, as applicable. The two-class method would only be used if participating securities were present.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computation of basic and diluted loss per share as of September 30, 2025 and 2024 excludes potentially dilutive securities when their inclusion would be anti-dilutive, or if their exercise prices were greater than the average market price of the common stock during the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396" w:name="xdx_891_eus-gaap--ScheduleOfAntidilutive"/>
      <w:bookmarkEnd w:id="396"/>
      <w:r>
        <w:rPr>
          <w:rFonts w:ascii="Times New Roman;Times;Serif" w:hAnsi="Times New Roman;Times;Serif"/>
          <w:b w:val="false"/>
          <w:i w:val="false"/>
          <w:caps w:val="false"/>
          <w:smallCaps w:val="false"/>
          <w:sz w:val="20"/>
        </w:rPr>
        <w:t>Potentially dilutive securities excluded from the computation of basic and diluted net income (loss) per share are as follows:</w:t>
      </w:r>
    </w:p>
    <w:p>
      <w:pPr>
        <w:pStyle w:val="TextBody"/>
        <w:bidi w:val="0"/>
        <w:spacing w:before="0" w:after="0"/>
        <w:ind w:left="0" w:right="0" w:hanging="0"/>
        <w:jc w:val="both"/>
        <w:rPr>
          <w:caps w:val="false"/>
          <w:smallCaps w:val="false"/>
        </w:rPr>
      </w:pPr>
      <w:r>
        <w:rPr>
          <w:caps w:val="false"/>
          <w:smallCaps w:val="false"/>
        </w:rPr>
        <w:t> </w:t>
      </w:r>
      <w:bookmarkStart w:id="397" w:name="xdx_8B2_zkf2VSmrsvvj"/>
      <w:bookmarkEnd w:id="397"/>
      <w:r>
        <w:rPr>
          <w:rFonts w:ascii="Times New Roman;Times;Serif" w:hAnsi="Times New Roman;Times;Serif"/>
          <w:b w:val="false"/>
          <w:i w:val="false"/>
          <w:caps w:val="false"/>
          <w:smallCaps w:val="false"/>
          <w:sz w:val="20"/>
        </w:rPr>
        <w:t>SCHEDULE OF ANTI-DILUTIVE SECURITIES EXCLUDED FROM COMPUTATION OF EARNINGS PER SHARE</w:t>
      </w:r>
    </w:p>
    <w:tbl>
      <w:tblPr>
        <w:tblW w:w="7798" w:type="dxa"/>
        <w:jc w:val="left"/>
        <w:tblInd w:w="0" w:type="dxa"/>
        <w:tblLayout w:type="fixed"/>
        <w:tblCellMar>
          <w:top w:w="0" w:type="dxa"/>
          <w:left w:w="0" w:type="dxa"/>
          <w:bottom w:w="0" w:type="dxa"/>
          <w:right w:w="0" w:type="dxa"/>
        </w:tblCellMar>
      </w:tblPr>
      <w:tblGrid>
        <w:gridCol w:w="4595"/>
        <w:gridCol w:w="60"/>
        <w:gridCol w:w="69"/>
        <w:gridCol w:w="1405"/>
        <w:gridCol w:w="60"/>
        <w:gridCol w:w="60"/>
        <w:gridCol w:w="76"/>
        <w:gridCol w:w="1398"/>
        <w:gridCol w:w="75"/>
      </w:tblGrid>
      <w:tr>
        <w:trPr/>
        <w:tc>
          <w:tcPr>
            <w:tcW w:w="45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398" w:name="xdx_49F_20250101__20250930_zhSsdehBYlMc"/>
            <w:bookmarkEnd w:id="398"/>
          </w:p>
        </w:tc>
        <w:tc>
          <w:tcPr>
            <w:tcW w:w="1474" w:type="dxa"/>
            <w:gridSpan w:val="2"/>
            <w:tcBorders/>
            <w:vAlign w:val="center"/>
          </w:tcPr>
          <w:p>
            <w:pPr>
              <w:pStyle w:val="TableContents"/>
              <w:bidi w:val="0"/>
              <w:spacing w:before="0" w:after="283"/>
              <w:jc w:val="center"/>
              <w:rPr>
                <w:b/>
              </w:rPr>
            </w:pPr>
            <w:r>
              <w:rPr>
                <w:b/>
              </w:rPr>
              <w:t>September 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399" w:name="xdx_497_20240101__20240930_zz7BIeBFkZp8"/>
            <w:bookmarkEnd w:id="399"/>
          </w:p>
        </w:tc>
        <w:tc>
          <w:tcPr>
            <w:tcW w:w="1474" w:type="dxa"/>
            <w:gridSpan w:val="2"/>
            <w:tcBorders/>
            <w:vAlign w:val="center"/>
          </w:tcPr>
          <w:p>
            <w:pPr>
              <w:pStyle w:val="TableContents"/>
              <w:bidi w:val="0"/>
              <w:spacing w:before="0" w:after="283"/>
              <w:jc w:val="center"/>
              <w:rPr>
                <w:b/>
              </w:rPr>
            </w:pPr>
            <w:r>
              <w:rPr>
                <w:b/>
              </w:rPr>
              <w:t>September 30,</w:t>
            </w:r>
          </w:p>
        </w:tc>
        <w:tc>
          <w:tcPr>
            <w:tcW w:w="75" w:type="dxa"/>
            <w:tcBorders/>
            <w:vAlign w:val="center"/>
          </w:tcPr>
          <w:p>
            <w:pPr>
              <w:pStyle w:val="TableContents"/>
              <w:bidi w:val="0"/>
              <w:spacing w:before="0" w:after="283"/>
              <w:jc w:val="left"/>
              <w:rPr/>
            </w:pPr>
            <w:r>
              <w:rPr/>
              <w:t> </w:t>
            </w:r>
          </w:p>
        </w:tc>
      </w:tr>
      <w:tr>
        <w:trPr/>
        <w:tc>
          <w:tcPr>
            <w:tcW w:w="45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7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7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75" w:type="dxa"/>
            <w:tcBorders/>
            <w:vAlign w:val="center"/>
          </w:tcPr>
          <w:p>
            <w:pPr>
              <w:pStyle w:val="TableContents"/>
              <w:bidi w:val="0"/>
              <w:spacing w:before="0" w:after="283"/>
              <w:jc w:val="left"/>
              <w:rPr/>
            </w:pPr>
            <w:r>
              <w:rPr/>
              <w:t> </w:t>
            </w:r>
            <w:bookmarkStart w:id="400" w:name="xdx_402_eus-gaap--AntidilutiveSecurities"/>
            <w:bookmarkEnd w:id="400"/>
          </w:p>
        </w:tc>
      </w:tr>
      <w:tr>
        <w:trPr/>
        <w:tc>
          <w:tcPr>
            <w:tcW w:w="4595" w:type="dxa"/>
            <w:tcBorders/>
            <w:shd w:fill="CCEEFF" w:val="clear"/>
            <w:vAlign w:val="center"/>
          </w:tcPr>
          <w:p>
            <w:pPr>
              <w:pStyle w:val="TableContents"/>
              <w:bidi w:val="0"/>
              <w:spacing w:before="0" w:after="283"/>
              <w:jc w:val="left"/>
              <w:rPr/>
            </w:pPr>
            <w:r>
              <w:rPr/>
              <w:t>Redeemable series C convertible preferred stock</w:t>
            </w:r>
          </w:p>
        </w:tc>
        <w:tc>
          <w:tcPr>
            <w:tcW w:w="6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405" w:type="dxa"/>
            <w:tcBorders/>
            <w:shd w:fill="CCEEFF" w:val="clear"/>
            <w:vAlign w:val="center"/>
          </w:tcPr>
          <w:p>
            <w:pPr>
              <w:pStyle w:val="TableContents"/>
              <w:bidi w:val="0"/>
              <w:spacing w:before="0" w:after="283"/>
              <w:jc w:val="right"/>
              <w:rPr/>
            </w:pPr>
            <w:r>
              <w:rPr/>
              <w:t>352,171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398" w:type="dxa"/>
            <w:tcBorders/>
            <w:shd w:fill="CCEEFF" w:val="clear"/>
            <w:vAlign w:val="center"/>
          </w:tcPr>
          <w:p>
            <w:pPr>
              <w:pStyle w:val="TableContents"/>
              <w:bidi w:val="0"/>
              <w:spacing w:before="0" w:after="283"/>
              <w:jc w:val="right"/>
              <w:rPr/>
            </w:pPr>
            <w:r>
              <w:rPr/>
              <w:t>618,060</w:t>
            </w:r>
          </w:p>
        </w:tc>
        <w:tc>
          <w:tcPr>
            <w:tcW w:w="75" w:type="dxa"/>
            <w:tcBorders/>
            <w:shd w:fill="CCEEFF" w:val="clear"/>
            <w:vAlign w:val="center"/>
          </w:tcPr>
          <w:p>
            <w:pPr>
              <w:pStyle w:val="TableContents"/>
              <w:bidi w:val="0"/>
              <w:spacing w:before="0" w:after="283"/>
              <w:jc w:val="left"/>
              <w:rPr/>
            </w:pPr>
            <w:r>
              <w:rPr/>
              <w:t> </w:t>
            </w:r>
            <w:bookmarkStart w:id="401" w:name="xdx_407_eus-gaap--AntidilutiveSecurities"/>
            <w:bookmarkEnd w:id="401"/>
          </w:p>
        </w:tc>
      </w:tr>
      <w:tr>
        <w:trPr/>
        <w:tc>
          <w:tcPr>
            <w:tcW w:w="4595" w:type="dxa"/>
            <w:tcBorders/>
            <w:shd w:fill="FFFFFF" w:val="clear"/>
            <w:vAlign w:val="center"/>
          </w:tcPr>
          <w:p>
            <w:pPr>
              <w:pStyle w:val="TableContents"/>
              <w:bidi w:val="0"/>
              <w:spacing w:before="0" w:after="283"/>
              <w:jc w:val="left"/>
              <w:rPr/>
            </w:pPr>
            <w:r>
              <w:rPr/>
              <w:t>Options to purchase common stock</w:t>
            </w:r>
          </w:p>
        </w:tc>
        <w:tc>
          <w:tcPr>
            <w:tcW w:w="60"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405" w:type="dxa"/>
            <w:tcBorders/>
            <w:shd w:fill="FFFFFF" w:val="clear"/>
            <w:vAlign w:val="center"/>
          </w:tcPr>
          <w:p>
            <w:pPr>
              <w:pStyle w:val="TableContents"/>
              <w:bidi w:val="0"/>
              <w:spacing w:before="0" w:after="283"/>
              <w:jc w:val="right"/>
              <w:rPr/>
            </w:pPr>
            <w:r>
              <w:rPr/>
              <w:t>2,736,000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1398" w:type="dxa"/>
            <w:tcBorders/>
            <w:shd w:fill="FFFFFF" w:val="clear"/>
            <w:vAlign w:val="center"/>
          </w:tcPr>
          <w:p>
            <w:pPr>
              <w:pStyle w:val="TableContents"/>
              <w:bidi w:val="0"/>
              <w:spacing w:before="0" w:after="283"/>
              <w:jc w:val="right"/>
              <w:rPr/>
            </w:pPr>
            <w:r>
              <w:rPr/>
              <w:t>2,515,200</w:t>
            </w:r>
          </w:p>
        </w:tc>
        <w:tc>
          <w:tcPr>
            <w:tcW w:w="75" w:type="dxa"/>
            <w:tcBorders/>
            <w:shd w:fill="FFFFFF" w:val="clear"/>
            <w:vAlign w:val="center"/>
          </w:tcPr>
          <w:p>
            <w:pPr>
              <w:pStyle w:val="TableContents"/>
              <w:bidi w:val="0"/>
              <w:spacing w:before="0" w:after="283"/>
              <w:jc w:val="left"/>
              <w:rPr/>
            </w:pPr>
            <w:r>
              <w:rPr/>
              <w:t> </w:t>
            </w:r>
            <w:bookmarkStart w:id="402" w:name="xdx_40F_eus-gaap--AntidilutiveSecurities"/>
            <w:bookmarkEnd w:id="402"/>
          </w:p>
        </w:tc>
      </w:tr>
      <w:tr>
        <w:trPr/>
        <w:tc>
          <w:tcPr>
            <w:tcW w:w="4595" w:type="dxa"/>
            <w:tcBorders/>
            <w:shd w:fill="CCEEFF" w:val="clear"/>
            <w:vAlign w:val="center"/>
          </w:tcPr>
          <w:p>
            <w:pPr>
              <w:pStyle w:val="TableContents"/>
              <w:bidi w:val="0"/>
              <w:spacing w:before="0" w:after="283"/>
              <w:jc w:val="left"/>
              <w:rPr/>
            </w:pPr>
            <w:r>
              <w:rPr/>
              <w:t>Warrants to purchase common stock</w:t>
            </w:r>
          </w:p>
        </w:tc>
        <w:tc>
          <w:tcPr>
            <w:tcW w:w="6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405" w:type="dxa"/>
            <w:tcBorders/>
            <w:shd w:fill="CCEEFF" w:val="clear"/>
            <w:vAlign w:val="center"/>
          </w:tcPr>
          <w:p>
            <w:pPr>
              <w:pStyle w:val="TableContents"/>
              <w:bidi w:val="0"/>
              <w:spacing w:before="0" w:after="283"/>
              <w:jc w:val="right"/>
              <w:rPr/>
            </w:pPr>
            <w:r>
              <w:rPr/>
              <w:t>2,414,647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398" w:type="dxa"/>
            <w:tcBorders/>
            <w:shd w:fill="CCEEFF" w:val="clear"/>
            <w:vAlign w:val="center"/>
          </w:tcPr>
          <w:p>
            <w:pPr>
              <w:pStyle w:val="TableContents"/>
              <w:bidi w:val="0"/>
              <w:spacing w:before="0" w:after="283"/>
              <w:jc w:val="right"/>
              <w:rPr/>
            </w:pPr>
            <w:r>
              <w:rPr/>
              <w:t>4,951,068</w:t>
            </w:r>
          </w:p>
        </w:tc>
        <w:tc>
          <w:tcPr>
            <w:tcW w:w="75" w:type="dxa"/>
            <w:tcBorders/>
            <w:shd w:fill="CCEEFF" w:val="clear"/>
            <w:vAlign w:val="center"/>
          </w:tcPr>
          <w:p>
            <w:pPr>
              <w:pStyle w:val="TableContents"/>
              <w:bidi w:val="0"/>
              <w:spacing w:before="0" w:after="283"/>
              <w:jc w:val="left"/>
              <w:rPr/>
            </w:pPr>
            <w:r>
              <w:rPr/>
              <w:t> </w:t>
            </w:r>
            <w:bookmarkStart w:id="403" w:name="xdx_40C_eus-gaap--AntidilutiveSecurities"/>
            <w:bookmarkEnd w:id="403"/>
          </w:p>
        </w:tc>
      </w:tr>
      <w:tr>
        <w:trPr/>
        <w:tc>
          <w:tcPr>
            <w:tcW w:w="4595" w:type="dxa"/>
            <w:tcBorders/>
            <w:shd w:fill="FFFFFF" w:val="clear"/>
            <w:vAlign w:val="center"/>
          </w:tcPr>
          <w:p>
            <w:pPr>
              <w:pStyle w:val="TableContents"/>
              <w:bidi w:val="0"/>
              <w:spacing w:before="0" w:after="283"/>
              <w:jc w:val="left"/>
              <w:rPr/>
            </w:pPr>
            <w:r>
              <w:rPr/>
              <w:t>Restricted stock units to acquire common stock</w:t>
            </w:r>
          </w:p>
        </w:tc>
        <w:tc>
          <w:tcPr>
            <w:tcW w:w="60"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405" w:type="dxa"/>
            <w:tcBorders/>
            <w:shd w:fill="FFFFFF" w:val="clear"/>
            <w:vAlign w:val="center"/>
          </w:tcPr>
          <w:p>
            <w:pPr>
              <w:pStyle w:val="TableContents"/>
              <w:bidi w:val="0"/>
              <w:spacing w:before="0" w:after="283"/>
              <w:jc w:val="right"/>
              <w:rPr/>
            </w:pPr>
            <w:r>
              <w:rPr/>
              <w:t>1,000,000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1398" w:type="dxa"/>
            <w:tcBorders/>
            <w:shd w:fill="FFFFFF" w:val="clear"/>
            <w:vAlign w:val="center"/>
          </w:tcPr>
          <w:p>
            <w:pPr>
              <w:pStyle w:val="TableContents"/>
              <w:bidi w:val="0"/>
              <w:spacing w:before="0" w:after="283"/>
              <w:jc w:val="right"/>
              <w:rPr/>
            </w:pPr>
            <w:r>
              <w:rPr/>
              <w:t>1,965,000</w:t>
            </w:r>
          </w:p>
        </w:tc>
        <w:tc>
          <w:tcPr>
            <w:tcW w:w="75" w:type="dxa"/>
            <w:tcBorders/>
            <w:shd w:fill="FFFFFF" w:val="clear"/>
            <w:vAlign w:val="center"/>
          </w:tcPr>
          <w:p>
            <w:pPr>
              <w:pStyle w:val="TableContents"/>
              <w:bidi w:val="0"/>
              <w:spacing w:before="0" w:after="283"/>
              <w:jc w:val="left"/>
              <w:rPr/>
            </w:pPr>
            <w:r>
              <w:rPr/>
              <w:t> </w:t>
            </w:r>
            <w:bookmarkStart w:id="404" w:name="xdx_40E_eus-gaap--AntidilutiveSecurities"/>
            <w:bookmarkEnd w:id="404"/>
          </w:p>
        </w:tc>
      </w:tr>
      <w:tr>
        <w:trPr/>
        <w:tc>
          <w:tcPr>
            <w:tcW w:w="4595" w:type="dxa"/>
            <w:tcBorders/>
            <w:shd w:fill="CCEEFF" w:val="clear"/>
            <w:vAlign w:val="center"/>
          </w:tcPr>
          <w:p>
            <w:pPr>
              <w:pStyle w:val="TableContents"/>
              <w:bidi w:val="0"/>
              <w:spacing w:before="0" w:after="283"/>
              <w:jc w:val="left"/>
              <w:rPr/>
            </w:pPr>
            <w:r>
              <w:rPr/>
              <w:t>Exchangeable Shares</w:t>
            </w:r>
          </w:p>
        </w:tc>
        <w:tc>
          <w:tcPr>
            <w:tcW w:w="60" w:type="dxa"/>
            <w:tcBorders/>
            <w:shd w:fill="CCEEFF" w:val="clear"/>
            <w:vAlign w:val="center"/>
          </w:tcPr>
          <w:p>
            <w:pPr>
              <w:pStyle w:val="TableContents"/>
              <w:bidi w:val="0"/>
              <w:spacing w:before="0" w:after="283"/>
              <w:jc w:val="left"/>
              <w:rPr/>
            </w:pPr>
            <w:r>
              <w:rPr/>
              <w:t> </w:t>
            </w:r>
          </w:p>
        </w:tc>
        <w:tc>
          <w:tcPr>
            <w:tcW w:w="6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05" w:type="dxa"/>
            <w:tcBorders>
              <w:bottom w:val="single" w:sz="8" w:space="0" w:color="000000"/>
            </w:tcBorders>
            <w:shd w:fill="CCEEFF" w:val="clear"/>
            <w:tcMar>
              <w:bottom w:w="28" w:type="dxa"/>
            </w:tcMar>
            <w:vAlign w:val="center"/>
          </w:tcPr>
          <w:p>
            <w:pPr>
              <w:pStyle w:val="TableContents"/>
              <w:bidi w:val="0"/>
              <w:spacing w:before="0" w:after="283"/>
              <w:jc w:val="right"/>
              <w:rPr/>
            </w:pPr>
            <w:r>
              <w:rPr/>
              <w:t>109,070,057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98"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bookmarkStart w:id="405" w:name="xdx_40E_eus-gaap--AntidilutiveSecurities"/>
            <w:bookmarkEnd w:id="405"/>
          </w:p>
        </w:tc>
      </w:tr>
      <w:tr>
        <w:trPr/>
        <w:tc>
          <w:tcPr>
            <w:tcW w:w="4595" w:type="dxa"/>
            <w:tcBorders/>
            <w:shd w:fill="FFFFFF" w:val="clear"/>
            <w:vAlign w:val="center"/>
          </w:tcPr>
          <w:p>
            <w:pPr>
              <w:pStyle w:val="TableContents"/>
              <w:bidi w:val="0"/>
              <w:spacing w:before="0" w:after="283"/>
              <w:jc w:val="left"/>
              <w:rPr/>
            </w:pPr>
            <w:r>
              <w:rPr/>
              <w:t>Totals</w:t>
            </w:r>
          </w:p>
        </w:tc>
        <w:tc>
          <w:tcPr>
            <w:tcW w:w="60" w:type="dxa"/>
            <w:tcBorders/>
            <w:shd w:fill="FFFFFF" w:val="clear"/>
            <w:vAlign w:val="center"/>
          </w:tcPr>
          <w:p>
            <w:pPr>
              <w:pStyle w:val="TableContents"/>
              <w:bidi w:val="0"/>
              <w:spacing w:before="0" w:after="283"/>
              <w:jc w:val="left"/>
              <w:rPr/>
            </w:pPr>
            <w:r>
              <w:rPr/>
              <w:t> </w:t>
            </w:r>
          </w:p>
        </w:tc>
        <w:tc>
          <w:tcPr>
            <w:tcW w:w="69"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405" w:type="dxa"/>
            <w:tcBorders>
              <w:bottom w:val="double" w:sz="6" w:space="0" w:color="000000"/>
            </w:tcBorders>
            <w:shd w:fill="FFFFFF" w:val="clear"/>
            <w:tcMar>
              <w:bottom w:w="28" w:type="dxa"/>
            </w:tcMar>
            <w:vAlign w:val="center"/>
          </w:tcPr>
          <w:p>
            <w:pPr>
              <w:pStyle w:val="TableContents"/>
              <w:bidi w:val="0"/>
              <w:spacing w:before="0" w:after="283"/>
              <w:jc w:val="right"/>
              <w:rPr/>
            </w:pPr>
            <w:r>
              <w:rPr/>
              <w:t>115,572,875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6"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398" w:type="dxa"/>
            <w:tcBorders>
              <w:bottom w:val="double" w:sz="6" w:space="0" w:color="000000"/>
            </w:tcBorders>
            <w:shd w:fill="FFFFFF" w:val="clear"/>
            <w:tcMar>
              <w:bottom w:w="28" w:type="dxa"/>
            </w:tcMar>
            <w:vAlign w:val="center"/>
          </w:tcPr>
          <w:p>
            <w:pPr>
              <w:pStyle w:val="TableContents"/>
              <w:bidi w:val="0"/>
              <w:spacing w:before="0" w:after="283"/>
              <w:jc w:val="right"/>
              <w:rPr/>
            </w:pPr>
            <w:r>
              <w:rPr/>
              <w:t>10,049,328</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406" w:name="xdx_8AF_zcOB3CXEO3o7"/>
      <w:bookmarkEnd w:id="406"/>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bookmarkStart w:id="407" w:name="xdx_846_eus-gaap--ShareBasedCompensation"/>
      <w:bookmarkEnd w:id="407"/>
      <w:r>
        <w:rPr>
          <w:rFonts w:ascii="Times New Roman;Times;Serif" w:hAnsi="Times New Roman;Times;Serif"/>
          <w:b w:val="false"/>
          <w:i/>
          <w:caps w:val="false"/>
          <w:smallCaps w:val="false"/>
          <w:sz w:val="20"/>
        </w:rPr>
        <w:t>Stock Based Compensation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measures the cost of services received in exchange for an award of equity instruments based on the fair value of the award as measured on the grant date. The fair value amount is then recognized over the period during which services are required to be provided in exchange for the award, usually the vesting period.</w:t>
      </w:r>
    </w:p>
    <w:p>
      <w:pPr>
        <w:pStyle w:val="TextBody"/>
        <w:bidi w:val="0"/>
        <w:spacing w:before="0" w:after="0"/>
        <w:ind w:left="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11</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STREAMEX CORP.</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THE CONDENSED CONSOLIDATED FINANCIAL STATEMENTS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SEPTEMBER 30, 2025 </w:t>
      </w:r>
      <w:r>
        <w:rPr>
          <w:rFonts w:ascii="Times New Roman;Times;Serif" w:hAnsi="Times New Roman;Times;Serif"/>
          <w:b/>
          <w:i/>
          <w:caps w:val="false"/>
          <w:smallCaps w:val="false"/>
          <w:sz w:val="20"/>
        </w:rPr>
        <w:t>(</w:t>
      </w:r>
      <w:r>
        <w:rPr>
          <w:rFonts w:ascii="Times New Roman;Times;Serif" w:hAnsi="Times New Roman;Times;Serif"/>
          <w:b/>
          <w:i w:val="false"/>
          <w:caps w:val="false"/>
          <w:smallCaps w:val="false"/>
          <w:sz w:val="20"/>
        </w:rPr>
        <w:t>Unaudited</w:t>
      </w:r>
      <w:r>
        <w:rPr>
          <w:rFonts w:ascii="Times New Roman;Times;Serif" w:hAnsi="Times New Roman;Times;Serif"/>
          <w:b/>
          <w:i/>
          <w:caps w:val="false"/>
          <w:smallCaps w:val="false"/>
          <w:sz w:val="20"/>
        </w:rPr>
        <w: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bookmarkStart w:id="408" w:name="xdx_86E_zHxxergs9k73"/>
      <w:bookmarkStart w:id="409" w:name="xdx_84D_eus-gaap--IncomeTaxPolicyTextBlo"/>
      <w:bookmarkEnd w:id="408"/>
      <w:bookmarkEnd w:id="409"/>
      <w:r>
        <w:rPr>
          <w:rFonts w:ascii="Times New Roman;Times;Serif" w:hAnsi="Times New Roman;Times;Serif"/>
          <w:b w:val="false"/>
          <w:i/>
          <w:caps w:val="false"/>
          <w:smallCaps w:val="false"/>
          <w:sz w:val="20"/>
        </w:rPr>
        <w:t>Income Taxes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accounts for income taxes under the asset and liability method. Deferred tax assets and liabilities are recognized for the future tax consequences attributable to differences between the financial statement carrying amounts of existing assets and liabilities and their respective tax bases, as well as for operating loss and tax credit carryforwards. Deferred tax assets and liabilities are measured using enacted tax rates expected to apply to taxable income in the years in which those temporary differences are anticipated to be recovered or settled.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effect of a change in tax rates on deferred tax assets and liabilities is recognized in income in the period that includes the enactment date. A valuation allowance is established when it is more-likely-than-not that some portion or all of the deferred tax assets will not be realized. Based on the weight of available evidence, the Company maintains a full valuation allowance against its U.S. deferred tax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Deferred tax liabilities have been recorded for taxable temporary differences related to intangible assets acquired in connection with the Company’s foreign subsidiary. These deferred tax liabilities are initially measured in the local currency and translated into U.S. dollars at the applicable exchange rate. Subsequent changes in the deferred tax liability due to amortization of the related intangible assets are recognized in income tax expense (benefit), while changes due to currency translation are recorded in accumulated other comprehensive income (loss).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recognizes interest and penalties related to uncertain tax positions in income tax expense. No such amounts were recorded for the periods presented.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nine months ended September 30, 2025, the Company recorded an income tax benefit of $</w:t>
      </w:r>
      <w:bookmarkStart w:id="410" w:name="xdx_909_eus-gaap--IncomeTaxExpenseBenefi"/>
      <w:bookmarkEnd w:id="410"/>
      <w:r>
        <w:rPr>
          <w:rFonts w:ascii="Times New Roman;Times;Serif" w:hAnsi="Times New Roman;Times;Serif"/>
          <w:b w:val="false"/>
          <w:i w:val="false"/>
          <w:caps w:val="false"/>
          <w:smallCaps w:val="false"/>
          <w:sz w:val="20"/>
        </w:rPr>
        <w:t>765,000, compared to $</w:t>
      </w:r>
      <w:bookmarkStart w:id="411" w:name="xdx_907_eus-gaap--IncomeTaxExpenseBenefi"/>
      <w:bookmarkEnd w:id="411"/>
      <w:r>
        <w:rPr>
          <w:rFonts w:ascii="Times New Roman;Times;Serif" w:hAnsi="Times New Roman;Times;Serif"/>
          <w:b w:val="false"/>
          <w:i w:val="false"/>
          <w:caps w:val="false"/>
          <w:smallCaps w:val="false"/>
          <w:sz w:val="20"/>
        </w:rPr>
        <w:t>0 in the prior-year periods. The benefit resulted from the reversal of a deferred tax liability associated with the amortization of identifiable intangible assets acquired in the Company’s Canadian subsidiary. The benefit recognized in the current period reflects the impact of this measurement period adjustment and was recorded retrospectively as of the acquisition date. No comparable benefit was recorded in the prior-year periods as the acquisition and related tax effects did not exist at that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bookmarkStart w:id="412" w:name="xdx_84E_eus-gaap--NewAccountingPronounce"/>
      <w:bookmarkEnd w:id="412"/>
      <w:r>
        <w:rPr>
          <w:rFonts w:ascii="Times New Roman;Times;Serif" w:hAnsi="Times New Roman;Times;Serif"/>
          <w:b w:val="false"/>
          <w:i/>
          <w:caps w:val="false"/>
          <w:smallCaps w:val="false"/>
          <w:sz w:val="20"/>
        </w:rPr>
        <w:t>Recent Accounting Pronouncements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December 2023, the FASB issued ASU 2023-09, </w:t>
      </w:r>
      <w:r>
        <w:rPr>
          <w:rFonts w:ascii="Times New Roman;Times;Serif" w:hAnsi="Times New Roman;Times;Serif"/>
          <w:b w:val="false"/>
          <w:i/>
          <w:caps w:val="false"/>
          <w:smallCaps w:val="false"/>
          <w:sz w:val="20"/>
        </w:rPr>
        <w:t xml:space="preserve">Improvements to Income Tax Disclosures, </w:t>
      </w:r>
      <w:r>
        <w:rPr>
          <w:rFonts w:ascii="Times New Roman;Times;Serif" w:hAnsi="Times New Roman;Times;Serif"/>
          <w:b w:val="false"/>
          <w:i w:val="false"/>
          <w:caps w:val="false"/>
          <w:smallCaps w:val="false"/>
          <w:sz w:val="20"/>
        </w:rPr>
        <w:t>which requires disaggregated information about our effective tax rate reconciliation as well as information on income taxes paid. The guidance will first be effective in our annual disclosures for the year ending December 31, 2025, and should be applied on a prospective basis with the option to apply retrospectively. Early adoption is permitted. The Company is in the process of assessing the impact of ASU 2023-09 on our disclosures.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November 2024, the FASB issued ASU 2024-03, “Disaggregation of Income Statement Expenses” (“ASU 2024-03”). ASU 2024-03 requires disclosure of the nature of expenses included in the income statement in response to longstanding requests from investors for more information about an entity’s expenses. The new standard requires disclosures about specific types of expenses included in the expense captions presented on the face of the income statement and disclosures about selling expenses. ASU 2024-03 will be effective for annual reporting periods beginning after December 15, 2026, and interim reporting periods within annual reporting periods beginning after December 15, 2027. The Company is currently evaluating ASU 2024-03 and does not expect it to have a material effect on the Company’s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March 2025, the Financial Accounting Standards Board (“FASB”) issued Accounting Standards Update 2025-02 “Liabilities (405): Amendments to SEC Paragraphs Pursuant to SEC Staff Accounting Bulletin No. 122” (“ASU 2025-02”), which amends the Accounting Standards Codification to remove the text of SEC Staff Accounting Bulletin (“SAB”) 121 “Accounting for Obligations to Safeguard Crypto- Assets an Entity Holds for its Platform Users” as it has been rescinded by the issuance of SAB 122. ASU 2025-02 is effective immediately and is not expected to have an impact on the Company’s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May 2025, the FASB issued ASU No. 2025-03, Business Combinations (Topic 805) and Consolidation (Topic 810): Determining the Accounting Acquirer in the Acquisition of a Variable Interest Entity (“VIE”), which provides clarifying guidance on determining the accounting acquirer in certain transactions involving VIEs. The update aims to improve consistency and comparability in financial reporting. The guidance will be effective for annual periods beginning after December 15, 2026, including interim periods within those annual periods. Early adoption is permitted. Upon adoption, the guidance will be applied prospectively. The Company is currently evaluating the provisions of the amendments and the impact on its future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July, 2025, the FASB issued ASU 2025-05, Financial Instruments-Credit Losses (Topic 326): Measurement of Credit Losses for Accounts Receivable and Contract Assets. This standard provides all entities with a practical expedient to assume that current conditions as of the balance sheet date do not change for the remaining life of the current accounts receivable and current contract assets. ASU 2025-05 is effective for fiscal years beginning after December 15, 2025 and interim periods within those fiscal years, with early adoption permitted. The Company is currently evaluating the impact of adopting ASU 2025-05.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September 2025, the FASB issued ASU 2025-06, Intangibles-Goodwill and Other-Internal-Use Software (Subtopic 350-40): Targeted Improvements to the Accounting for Internal-Use Software, to modernize the accounting guidance for internal-use software costs. The standard removes all references to software development project stages and instead requires capitalization when (i) management has authorized and committed to funding the software project and (ii) it is probable that the project will be completed and the software will be used to perform the function intended. ASU 2025-06 is effective for fiscal years beginning after December 15, 2027 and interim periods within those fiscal years, with early adoption permitted. The Company is currently evaluating the impact of adopting ASU 2025-06.</w:t>
      </w:r>
    </w:p>
    <w:p>
      <w:pPr>
        <w:pStyle w:val="TextBody"/>
        <w:bidi w:val="0"/>
        <w:spacing w:before="0" w:after="0"/>
        <w:ind w:left="0" w:right="0" w:hanging="0"/>
        <w:jc w:val="both"/>
        <w:rPr>
          <w:caps w:val="false"/>
          <w:smallCaps w:val="false"/>
        </w:rPr>
      </w:pPr>
      <w:bookmarkStart w:id="413" w:name="xdx_856_z3FOs5W8nx1a"/>
      <w:bookmarkEnd w:id="413"/>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12</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STREAMEX CORP.</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THE CONDENSED CONSOLIDATED FINANCIAL STATEMENTS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SEPTEMBER 30, 2025 </w:t>
      </w:r>
      <w:r>
        <w:rPr>
          <w:rFonts w:ascii="Times New Roman;Times;Serif" w:hAnsi="Times New Roman;Times;Serif"/>
          <w:b/>
          <w:i/>
          <w:caps w:val="false"/>
          <w:smallCaps w:val="false"/>
          <w:sz w:val="20"/>
        </w:rPr>
        <w:t>(</w:t>
      </w:r>
      <w:r>
        <w:rPr>
          <w:rFonts w:ascii="Times New Roman;Times;Serif" w:hAnsi="Times New Roman;Times;Serif"/>
          <w:b/>
          <w:i w:val="false"/>
          <w:caps w:val="false"/>
          <w:smallCaps w:val="false"/>
          <w:sz w:val="20"/>
        </w:rPr>
        <w:t>Unaudited</w:t>
      </w:r>
      <w:r>
        <w:rPr>
          <w:rFonts w:ascii="Times New Roman;Times;Serif" w:hAnsi="Times New Roman;Times;Serif"/>
          <w:b/>
          <w:i/>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414" w:name="xdx_802_eus-gaap--PropertyPlantAndEquipm"/>
      <w:bookmarkEnd w:id="414"/>
      <w:r>
        <w:rPr>
          <w:rFonts w:ascii="Times New Roman;Times;Serif" w:hAnsi="Times New Roman;Times;Serif"/>
          <w:b/>
          <w:i w:val="false"/>
          <w:caps w:val="false"/>
          <w:smallCaps w:val="false"/>
          <w:sz w:val="20"/>
        </w:rPr>
        <w:t>NOTE 4</w:t>
      </w:r>
      <w:r>
        <w:rPr>
          <w:rFonts w:ascii="Times New Roman;Times;Serif" w:hAnsi="Times New Roman;Times;Serif"/>
          <w:b w:val="false"/>
          <w:i w:val="false"/>
          <w:caps w:val="false"/>
          <w:smallCaps w:val="false"/>
          <w:sz w:val="20"/>
        </w:rPr>
        <w:t xml:space="preserve"> – </w:t>
      </w:r>
      <w:bookmarkStart w:id="415" w:name="xdx_82F_zo18nfsFj6Y6"/>
      <w:bookmarkEnd w:id="415"/>
      <w:r>
        <w:rPr>
          <w:rFonts w:ascii="Times New Roman;Times;Serif" w:hAnsi="Times New Roman;Times;Serif"/>
          <w:b/>
          <w:i w:val="false"/>
          <w:caps w:val="false"/>
          <w:smallCaps w:val="false"/>
          <w:sz w:val="20"/>
        </w:rPr>
        <w:t>PROPERTY AND EQUIPMENT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416" w:name="xdx_897_eus-gaap--PropertyPlantAndEquipm"/>
      <w:bookmarkEnd w:id="416"/>
      <w:r>
        <w:rPr>
          <w:rFonts w:ascii="Times New Roman;Times;Serif" w:hAnsi="Times New Roman;Times;Serif"/>
          <w:b w:val="false"/>
          <w:i w:val="false"/>
          <w:caps w:val="false"/>
          <w:smallCaps w:val="false"/>
          <w:sz w:val="20"/>
        </w:rPr>
        <w:t>Property and equipment as of September 30, 2025 and December 31, 2024 is summarized as follows:</w:t>
      </w:r>
    </w:p>
    <w:p>
      <w:pPr>
        <w:pStyle w:val="TextBody"/>
        <w:bidi w:val="0"/>
        <w:spacing w:before="0" w:after="0"/>
        <w:ind w:left="0" w:right="0" w:hanging="0"/>
        <w:jc w:val="both"/>
        <w:rPr>
          <w:caps w:val="false"/>
          <w:smallCaps w:val="false"/>
        </w:rPr>
      </w:pPr>
      <w:r>
        <w:rPr>
          <w:caps w:val="false"/>
          <w:smallCaps w:val="false"/>
        </w:rPr>
        <w:t> </w:t>
      </w:r>
      <w:bookmarkStart w:id="417" w:name="xdx_8B9_z8rRY7SHaajf"/>
      <w:bookmarkEnd w:id="417"/>
      <w:r>
        <w:rPr>
          <w:rFonts w:ascii="Times New Roman;Times;Serif" w:hAnsi="Times New Roman;Times;Serif"/>
          <w:b w:val="false"/>
          <w:i w:val="false"/>
          <w:caps w:val="false"/>
          <w:smallCaps w:val="false"/>
          <w:sz w:val="20"/>
        </w:rPr>
        <w:t>SCHEDULE OF PROPERTY AND EQUIPMENT</w:t>
      </w:r>
    </w:p>
    <w:tbl>
      <w:tblPr>
        <w:tblW w:w="5228" w:type="dxa"/>
        <w:jc w:val="left"/>
        <w:tblInd w:w="0" w:type="dxa"/>
        <w:tblLayout w:type="fixed"/>
        <w:tblCellMar>
          <w:top w:w="0" w:type="dxa"/>
          <w:left w:w="0" w:type="dxa"/>
          <w:bottom w:w="0" w:type="dxa"/>
          <w:right w:w="0" w:type="dxa"/>
        </w:tblCellMar>
      </w:tblPr>
      <w:tblGrid>
        <w:gridCol w:w="2540"/>
        <w:gridCol w:w="60"/>
        <w:gridCol w:w="249"/>
        <w:gridCol w:w="970"/>
        <w:gridCol w:w="80"/>
        <w:gridCol w:w="60"/>
        <w:gridCol w:w="240"/>
        <w:gridCol w:w="934"/>
        <w:gridCol w:w="95"/>
      </w:tblGrid>
      <w:tr>
        <w:trPr/>
        <w:tc>
          <w:tcPr>
            <w:tcW w:w="254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bookmarkStart w:id="418" w:name="xdx_490_20250930_zrmD8ogKvUUh"/>
            <w:bookmarkEnd w:id="418"/>
          </w:p>
        </w:tc>
        <w:tc>
          <w:tcPr>
            <w:tcW w:w="1219"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September 30,</w:t>
            </w:r>
          </w:p>
        </w:tc>
        <w:tc>
          <w:tcPr>
            <w:tcW w:w="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bookmarkStart w:id="419" w:name="xdx_49F_20241231_z29MyUsxz3Gf"/>
            <w:bookmarkEnd w:id="419"/>
          </w:p>
        </w:tc>
        <w:tc>
          <w:tcPr>
            <w:tcW w:w="1174"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w:t>
            </w:r>
          </w:p>
        </w:tc>
        <w:tc>
          <w:tcPr>
            <w:tcW w:w="95"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254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219"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74"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2024</w:t>
            </w:r>
          </w:p>
        </w:tc>
        <w:tc>
          <w:tcPr>
            <w:tcW w:w="95"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254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21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(000’s)</w:t>
            </w:r>
          </w:p>
        </w:tc>
        <w:tc>
          <w:tcPr>
            <w:tcW w:w="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7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(000’s)</w:t>
            </w:r>
          </w:p>
        </w:tc>
        <w:tc>
          <w:tcPr>
            <w:tcW w:w="95" w:type="dxa"/>
            <w:tcBorders/>
            <w:vAlign w:val="center"/>
          </w:tcPr>
          <w:p>
            <w:pPr>
              <w:pStyle w:val="TableContents"/>
              <w:bidi w:val="0"/>
              <w:spacing w:before="0" w:after="283"/>
              <w:jc w:val="center"/>
              <w:rPr>
                <w:caps w:val="false"/>
                <w:smallCaps w:val="false"/>
              </w:rPr>
            </w:pPr>
            <w:r>
              <w:rPr>
                <w:caps w:val="false"/>
                <w:smallCaps w:val="false"/>
              </w:rPr>
              <w:t> </w:t>
            </w:r>
            <w:bookmarkStart w:id="420" w:name="xdx_400_eus-gaap--PropertyPlantAndEquipm"/>
            <w:bookmarkEnd w:id="420"/>
          </w:p>
        </w:tc>
      </w:tr>
      <w:tr>
        <w:trPr/>
        <w:tc>
          <w:tcPr>
            <w:tcW w:w="254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Computer equipment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7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3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531</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421" w:name="xdx_408_eus-gaap--PropertyPlantAndEquipm"/>
            <w:bookmarkEnd w:id="421"/>
          </w:p>
        </w:tc>
      </w:tr>
      <w:tr>
        <w:trPr/>
        <w:tc>
          <w:tcPr>
            <w:tcW w:w="254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Furniture and fixtures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3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109</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422" w:name="xdx_40A_eus-gaap--PropertyPlantAndEquipm"/>
            <w:bookmarkEnd w:id="422"/>
          </w:p>
        </w:tc>
      </w:tr>
      <w:tr>
        <w:trPr/>
        <w:tc>
          <w:tcPr>
            <w:tcW w:w="254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Testing/Demo equipment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3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312</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423" w:name="xdx_404_eus-gaap--PropertyPlantAndEquipm"/>
            <w:bookmarkEnd w:id="423"/>
          </w:p>
        </w:tc>
      </w:tr>
      <w:tr>
        <w:trPr/>
        <w:tc>
          <w:tcPr>
            <w:tcW w:w="254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Leasehold improvements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9"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7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3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84</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424" w:name="xdx_409_eus-gaap--PropertyPlantAndEquipm"/>
            <w:bookmarkEnd w:id="424"/>
          </w:p>
        </w:tc>
      </w:tr>
      <w:tr>
        <w:trPr/>
        <w:tc>
          <w:tcPr>
            <w:tcW w:w="254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3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1,036</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425" w:name="xdx_402_eus-gaap--AccumulatedDepreciatio"/>
            <w:bookmarkEnd w:id="425"/>
          </w:p>
        </w:tc>
      </w:tr>
      <w:tr>
        <w:trPr/>
        <w:tc>
          <w:tcPr>
            <w:tcW w:w="254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Less accumulated depreciation</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9"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7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(998</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3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(951</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426" w:name="xdx_407_eus-gaap--PropertyPlantAndEquipm"/>
            <w:bookmarkEnd w:id="426"/>
          </w:p>
        </w:tc>
      </w:tr>
      <w:tr>
        <w:trPr/>
        <w:tc>
          <w:tcPr>
            <w:tcW w:w="254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Property and equipment, net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9"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7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34"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85</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both"/>
        <w:rPr>
          <w:caps w:val="false"/>
          <w:smallCaps w:val="false"/>
        </w:rPr>
      </w:pPr>
      <w:bookmarkStart w:id="427" w:name="xdx_8AE_zHY4SHNS2p48"/>
      <w:bookmarkEnd w:id="427"/>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September 30, 2025, the Company determined that no events or changes in circumstances existed that would indicate any impairment of its long-lived assets. During the nine months ended September 30, 2024, the Company re-assessed it carrying amounts of certain property and equipment due to reduced manufacturing of its commercial products and determined that these carrying amounts exceeded the estimated undiscounted future cash flows. Accordingly, the Company recorded</w:t>
      </w:r>
      <w:bookmarkStart w:id="428" w:name="xdx_901_eus-gaap--AssetImpairmentCharges"/>
      <w:bookmarkEnd w:id="428"/>
      <w:r>
        <w:rPr>
          <w:rFonts w:ascii="Times New Roman;Times;Serif" w:hAnsi="Times New Roman;Times;Serif"/>
          <w:b w:val="false"/>
          <w:i w:val="false"/>
          <w:caps w:val="false"/>
          <w:smallCaps w:val="false"/>
          <w:sz w:val="20"/>
        </w:rPr>
        <w:t xml:space="preserve"> </w:t>
      </w:r>
      <w:bookmarkStart w:id="429" w:name="xdx_90F_eus-gaap--AssetImpairmentCharges"/>
      <w:bookmarkEnd w:id="429"/>
      <w:r>
        <w:rPr>
          <w:rFonts w:ascii="Times New Roman;Times;Serif" w:hAnsi="Times New Roman;Times;Serif"/>
          <w:b w:val="false"/>
          <w:i w:val="false"/>
          <w:caps w:val="false"/>
          <w:smallCaps w:val="false"/>
          <w:sz w:val="20"/>
        </w:rPr>
        <w:t>no impairment charges to current operations during the three and nine months ended September 30, 2025. Impairment charges totaled $</w:t>
      </w:r>
      <w:bookmarkStart w:id="430" w:name="xdx_900_eus-gaap--AssetImpairmentCharges"/>
      <w:bookmarkEnd w:id="430"/>
      <w:r>
        <w:rPr>
          <w:rFonts w:ascii="Times New Roman;Times;Serif" w:hAnsi="Times New Roman;Times;Serif"/>
          <w:b w:val="false"/>
          <w:i w:val="false"/>
          <w:caps w:val="false"/>
          <w:smallCaps w:val="false"/>
          <w:sz w:val="20"/>
        </w:rPr>
        <w:t>0 and $</w:t>
      </w:r>
      <w:bookmarkStart w:id="431" w:name="xdx_90F_eus-gaap--AssetImpairmentCharges"/>
      <w:bookmarkEnd w:id="431"/>
      <w:r>
        <w:rPr>
          <w:rFonts w:ascii="Times New Roman;Times;Serif" w:hAnsi="Times New Roman;Times;Serif"/>
          <w:b w:val="false"/>
          <w:i w:val="false"/>
          <w:caps w:val="false"/>
          <w:smallCaps w:val="false"/>
          <w:sz w:val="20"/>
        </w:rPr>
        <w:t>253 during the three and nine months ended September 30,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Depreciation expenses were $</w:t>
      </w:r>
      <w:bookmarkStart w:id="432" w:name="xdx_901_eus-gaap--Depreciation_pn3n3_c20"/>
      <w:bookmarkEnd w:id="432"/>
      <w:r>
        <w:rPr>
          <w:rFonts w:ascii="Times New Roman;Times;Serif" w:hAnsi="Times New Roman;Times;Serif"/>
          <w:b w:val="false"/>
          <w:i w:val="false"/>
          <w:caps w:val="false"/>
          <w:smallCaps w:val="false"/>
          <w:sz w:val="20"/>
        </w:rPr>
        <w:t>15 and $</w:t>
      </w:r>
      <w:bookmarkStart w:id="433" w:name="xdx_90C_eus-gaap--Depreciation_pn3n3_c20"/>
      <w:bookmarkEnd w:id="433"/>
      <w:r>
        <w:rPr>
          <w:rFonts w:ascii="Times New Roman;Times;Serif" w:hAnsi="Times New Roman;Times;Serif"/>
          <w:b w:val="false"/>
          <w:i w:val="false"/>
          <w:caps w:val="false"/>
          <w:smallCaps w:val="false"/>
          <w:sz w:val="20"/>
        </w:rPr>
        <w:t>27 for the three months ended September 30, 2025 and 2024, respectively. Depreciation expenses were $</w:t>
      </w:r>
      <w:bookmarkStart w:id="434" w:name="xdx_90A_eus-gaap--Depreciation_pn3n3_c20"/>
      <w:bookmarkEnd w:id="434"/>
      <w:r>
        <w:rPr>
          <w:rFonts w:ascii="Times New Roman;Times;Serif" w:hAnsi="Times New Roman;Times;Serif"/>
          <w:b w:val="false"/>
          <w:i w:val="false"/>
          <w:caps w:val="false"/>
          <w:smallCaps w:val="false"/>
          <w:sz w:val="20"/>
        </w:rPr>
        <w:t>48 and $</w:t>
      </w:r>
      <w:bookmarkStart w:id="435" w:name="xdx_907_eus-gaap--Depreciation_pn3n3_c20"/>
      <w:bookmarkEnd w:id="435"/>
      <w:r>
        <w:rPr>
          <w:rFonts w:ascii="Times New Roman;Times;Serif" w:hAnsi="Times New Roman;Times;Serif"/>
          <w:b w:val="false"/>
          <w:i w:val="false"/>
          <w:caps w:val="false"/>
          <w:smallCaps w:val="false"/>
          <w:sz w:val="20"/>
        </w:rPr>
        <w:t>144 for the nine months ended September 30, 2025 and 2024,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436" w:name="xdx_80F_eus-gaap--GoodwillAndIntangibleA"/>
      <w:bookmarkEnd w:id="436"/>
      <w:r>
        <w:rPr>
          <w:rFonts w:ascii="Times New Roman;Times;Serif" w:hAnsi="Times New Roman;Times;Serif"/>
          <w:b/>
          <w:i w:val="false"/>
          <w:caps w:val="false"/>
          <w:smallCaps w:val="false"/>
          <w:sz w:val="20"/>
        </w:rPr>
        <w:t>NOTE 5</w:t>
      </w:r>
      <w:r>
        <w:rPr>
          <w:rFonts w:ascii="Times New Roman;Times;Serif" w:hAnsi="Times New Roman;Times;Serif"/>
          <w:b w:val="false"/>
          <w:i w:val="false"/>
          <w:caps w:val="false"/>
          <w:smallCaps w:val="false"/>
          <w:sz w:val="20"/>
        </w:rPr>
        <w:t xml:space="preserve"> – </w:t>
      </w:r>
      <w:bookmarkStart w:id="437" w:name="xdx_821_zaRgXPQPWGK8"/>
      <w:bookmarkEnd w:id="437"/>
      <w:r>
        <w:rPr>
          <w:rFonts w:ascii="Times New Roman;Times;Serif" w:hAnsi="Times New Roman;Times;Serif"/>
          <w:b/>
          <w:i w:val="false"/>
          <w:caps w:val="false"/>
          <w:smallCaps w:val="false"/>
          <w:sz w:val="20"/>
        </w:rPr>
        <w:t>GOODWILL AND INTANGIBLE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Goodwill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shows the changes in the carrying amount of goodwill for the period:</w:t>
      </w:r>
    </w:p>
    <w:p>
      <w:pPr>
        <w:pStyle w:val="TextBody"/>
        <w:bidi w:val="0"/>
        <w:spacing w:before="0" w:after="0"/>
        <w:ind w:left="0" w:right="0" w:hanging="0"/>
        <w:jc w:val="both"/>
        <w:rPr>
          <w:caps w:val="false"/>
          <w:smallCaps w:val="false"/>
        </w:rPr>
      </w:pPr>
      <w:bookmarkStart w:id="438" w:name="xdx_89B_eus-gaap--ScheduleOfGoodwillText"/>
      <w:bookmarkEnd w:id="438"/>
      <w:r>
        <w:rPr>
          <w:caps w:val="false"/>
          <w:smallCaps w:val="false"/>
        </w:rPr>
        <w:t> </w:t>
      </w:r>
      <w:bookmarkStart w:id="439" w:name="xdx_8BA_zKAT61DcUBZ2"/>
      <w:bookmarkEnd w:id="439"/>
      <w:r>
        <w:rPr>
          <w:rFonts w:ascii="Times New Roman;Times;Serif" w:hAnsi="Times New Roman;Times;Serif"/>
          <w:b w:val="false"/>
          <w:i w:val="false"/>
          <w:caps w:val="false"/>
          <w:smallCaps w:val="false"/>
          <w:sz w:val="20"/>
        </w:rPr>
        <w:t>SCHEDULE OF CARRYING AMOUNT OF GOODWILL</w:t>
      </w:r>
    </w:p>
    <w:tbl>
      <w:tblPr>
        <w:tblW w:w="4145" w:type="dxa"/>
        <w:jc w:val="left"/>
        <w:tblInd w:w="0" w:type="dxa"/>
        <w:tblLayout w:type="fixed"/>
        <w:tblCellMar>
          <w:top w:w="0" w:type="dxa"/>
          <w:left w:w="0" w:type="dxa"/>
          <w:bottom w:w="0" w:type="dxa"/>
          <w:right w:w="0" w:type="dxa"/>
        </w:tblCellMar>
      </w:tblPr>
      <w:tblGrid>
        <w:gridCol w:w="3275"/>
        <w:gridCol w:w="60"/>
        <w:gridCol w:w="125"/>
        <w:gridCol w:w="590"/>
        <w:gridCol w:w="95"/>
      </w:tblGrid>
      <w:tr>
        <w:trPr/>
        <w:tc>
          <w:tcPr>
            <w:tcW w:w="3275" w:type="dxa"/>
            <w:tcBorders/>
            <w:shd w:fill="CCEEFF" w:val="clear"/>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Goodwill as of December 31, 2024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bookmarkStart w:id="440" w:name="xdx_98E_eus-gaap--Goodwill_iS_pn3n3_c202"/>
            <w:bookmarkEnd w:id="440"/>
          </w:p>
        </w:tc>
        <w:tc>
          <w:tcPr>
            <w:tcW w:w="59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27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Acquisition</w:t>
            </w:r>
            <w:r>
              <w:rPr>
                <w:rFonts w:ascii="Times New Roman;Times;Serif" w:hAnsi="Times New Roman;Times;Serif"/>
                <w:b w:val="false"/>
                <w:i w:val="false"/>
                <w:caps w:val="false"/>
                <w:smallCaps w:val="false"/>
                <w:position w:val="7"/>
                <w:sz w:val="16"/>
                <w:sz w:val="20"/>
              </w:rPr>
              <w:t>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441" w:name="xdx_98C_eus-gaap--GoodwillAcquiredDuring"/>
            <w:bookmarkEnd w:id="441"/>
          </w:p>
        </w:tc>
        <w:tc>
          <w:tcPr>
            <w:tcW w:w="5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70,435</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27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Impairment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442" w:name="xdx_986_eus-gaap--GoodwillImpairmentLoss"/>
            <w:bookmarkEnd w:id="442"/>
          </w:p>
        </w:tc>
        <w:tc>
          <w:tcPr>
            <w:tcW w:w="5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27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Foreign currency translation adjustment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bookmarkStart w:id="443" w:name="xdx_98E_eus-gaap--ForeignCurrencyTransac"/>
            <w:bookmarkEnd w:id="443"/>
          </w:p>
        </w:tc>
        <w:tc>
          <w:tcPr>
            <w:tcW w:w="59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(547</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275" w:type="dxa"/>
            <w:tcBorders/>
            <w:shd w:fill="CCEEFF" w:val="clear"/>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Goodwill as of September 30, 2025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444" w:name="xdx_983_eus-gaap--Goodwill_iE_pn3n3_c202"/>
            <w:bookmarkEnd w:id="444"/>
          </w:p>
        </w:tc>
        <w:tc>
          <w:tcPr>
            <w:tcW w:w="59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69,888</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42"/>
        <w:gridCol w:w="9988"/>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4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bookmarkStart w:id="445" w:name="xdx_F03_zorjafSTOrcb"/>
            <w:bookmarkEnd w:id="445"/>
            <w:r>
              <w:rPr>
                <w:rFonts w:ascii="Times New Roman;Times;Serif" w:hAnsi="Times New Roman;Times;Serif"/>
                <w:b w:val="false"/>
                <w:i w:val="false"/>
                <w:caps w:val="false"/>
                <w:smallCaps w:val="false"/>
                <w:sz w:val="20"/>
              </w:rPr>
              <w:t>1)</w:t>
            </w:r>
          </w:p>
        </w:tc>
        <w:tc>
          <w:tcPr>
            <w:tcW w:w="998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bookmarkStart w:id="446" w:name="xdx_F16_zIX61gLE7RZh"/>
            <w:bookmarkEnd w:id="446"/>
            <w:r>
              <w:rPr>
                <w:rFonts w:ascii="Times New Roman;Times;Serif" w:hAnsi="Times New Roman;Times;Serif"/>
                <w:b w:val="false"/>
                <w:i w:val="false"/>
                <w:caps w:val="false"/>
                <w:smallCaps w:val="false"/>
                <w:sz w:val="20"/>
              </w:rPr>
              <w:t>Related to the acquisition of the Streamex Exchange. See Note 13 for more details. Goodwill was initially measured in the functional currency of Streamex Exchange and translated into U.S. dollars using the exchange rate in effect on the acquisition date. Subsequent changes in foreign exchange rates are reflected in the cumulative translation adjustment within other comprehensive loss.</w:t>
            </w:r>
          </w:p>
        </w:tc>
      </w:tr>
    </w:tbl>
    <w:p>
      <w:pPr>
        <w:pStyle w:val="TextBody"/>
        <w:bidi w:val="0"/>
        <w:spacing w:before="0" w:after="0"/>
        <w:ind w:left="0" w:right="0" w:hanging="0"/>
        <w:jc w:val="both"/>
        <w:rPr>
          <w:caps w:val="false"/>
          <w:smallCaps w:val="false"/>
        </w:rPr>
      </w:pPr>
      <w:bookmarkStart w:id="447" w:name="xdx_8A9_zDHTyU1YkISj"/>
      <w:bookmarkEnd w:id="447"/>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During the nine months ended September 30, 2025, the Company evaluated the existence of any indicators of impairment in accordance with ASC 350, Intangibles—Goodwill and Other. While substantial doubt to continue as a going concern was considered as part of the qualitative analysis, it did not, in isolation or in combination with other factors, rise to the level of a triggering event requiring a quantitative impairment test. Based on the assessment, there was </w:t>
      </w:r>
      <w:bookmarkStart w:id="448" w:name="xdx_90D_eus-gaap--GoodwillImpairmentLoss"/>
      <w:bookmarkEnd w:id="448"/>
      <w:r>
        <w:rPr>
          <w:rFonts w:ascii="Times New Roman;Times;Serif" w:hAnsi="Times New Roman;Times;Serif"/>
          <w:b w:val="false"/>
          <w:i w:val="false"/>
          <w:caps w:val="false"/>
          <w:smallCaps w:val="false"/>
          <w:sz w:val="20"/>
        </w:rPr>
        <w:t>no goodwill impairment recognized in the period ended September 30,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Intangible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Intangible assets consist of trade name, developed technology, legal and compliance framework, and patents, and are initially recorded at fair value. Long-lived intangible assets are amortized over their estimated useful lives in a method reflecting the pattern in which the economic benefits are consumed or amortized on a straight-line basis if such pattern cannot be reliably determined. The Company continues to assess potential triggering events related to the value of its intangible assets and concluded that there was no triggering events that require a quantitative impairment test during the nine months ended September 30, 2025.</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449" w:name="xdx_895_eus-gaap--ScheduleOfImpairedInta"/>
      <w:bookmarkEnd w:id="449"/>
      <w:r>
        <w:rPr>
          <w:rFonts w:ascii="Times New Roman;Times;Serif" w:hAnsi="Times New Roman;Times;Serif"/>
          <w:b w:val="false"/>
          <w:i w:val="false"/>
          <w:caps w:val="false"/>
          <w:smallCaps w:val="false"/>
          <w:sz w:val="20"/>
        </w:rPr>
        <w:t>The following summarizes the Company’s intangible assets as of September 30, 2025 and December 31, 2024:</w:t>
      </w:r>
    </w:p>
    <w:p>
      <w:pPr>
        <w:pStyle w:val="TextBody"/>
        <w:bidi w:val="0"/>
        <w:spacing w:before="0" w:after="0"/>
        <w:ind w:left="0" w:right="0" w:hanging="0"/>
        <w:jc w:val="both"/>
        <w:rPr>
          <w:caps w:val="false"/>
          <w:smallCaps w:val="false"/>
        </w:rPr>
      </w:pPr>
      <w:r>
        <w:rPr>
          <w:caps w:val="false"/>
          <w:smallCaps w:val="false"/>
        </w:rPr>
        <w:t> </w:t>
      </w:r>
      <w:bookmarkStart w:id="450" w:name="xdx_8B3_zqIqUXH44jk4"/>
      <w:bookmarkEnd w:id="450"/>
      <w:r>
        <w:rPr>
          <w:rFonts w:ascii="Times New Roman;Times;Serif" w:hAnsi="Times New Roman;Times;Serif"/>
          <w:b w:val="false"/>
          <w:i w:val="false"/>
          <w:caps w:val="false"/>
          <w:smallCaps w:val="false"/>
          <w:sz w:val="20"/>
        </w:rPr>
        <w:t>SCHEDULE OF INTANGIBLE ASSETS</w:t>
      </w:r>
    </w:p>
    <w:tbl>
      <w:tblPr>
        <w:tblW w:w="5964" w:type="dxa"/>
        <w:jc w:val="left"/>
        <w:tblInd w:w="0" w:type="dxa"/>
        <w:tblLayout w:type="fixed"/>
        <w:tblCellMar>
          <w:top w:w="0" w:type="dxa"/>
          <w:left w:w="0" w:type="dxa"/>
          <w:bottom w:w="0" w:type="dxa"/>
          <w:right w:w="0" w:type="dxa"/>
        </w:tblCellMar>
      </w:tblPr>
      <w:tblGrid>
        <w:gridCol w:w="3275"/>
        <w:gridCol w:w="60"/>
        <w:gridCol w:w="212"/>
        <w:gridCol w:w="1007"/>
        <w:gridCol w:w="80"/>
        <w:gridCol w:w="60"/>
        <w:gridCol w:w="282"/>
        <w:gridCol w:w="893"/>
        <w:gridCol w:w="95"/>
      </w:tblGrid>
      <w:tr>
        <w:trPr/>
        <w:tc>
          <w:tcPr>
            <w:tcW w:w="3275"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bookmarkStart w:id="451" w:name="xdx_491_20250930_zW6wAK39tePf"/>
            <w:bookmarkEnd w:id="451"/>
          </w:p>
        </w:tc>
        <w:tc>
          <w:tcPr>
            <w:tcW w:w="1219"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September 30,</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bookmarkStart w:id="452" w:name="xdx_49F_20241231_zivRaWomzkpf"/>
            <w:bookmarkEnd w:id="452"/>
          </w:p>
        </w:tc>
        <w:tc>
          <w:tcPr>
            <w:tcW w:w="117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275"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1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7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2024</w:t>
            </w:r>
          </w:p>
        </w:tc>
        <w:tc>
          <w:tcPr>
            <w:tcW w:w="95" w:type="dxa"/>
            <w:tcBorders/>
            <w:vAlign w:val="center"/>
          </w:tcPr>
          <w:p>
            <w:pPr>
              <w:pStyle w:val="TableContents"/>
              <w:bidi w:val="0"/>
              <w:spacing w:before="0" w:after="283"/>
              <w:jc w:val="left"/>
              <w:rPr>
                <w:caps w:val="false"/>
                <w:smallCaps w:val="false"/>
              </w:rPr>
            </w:pPr>
            <w:r>
              <w:rPr>
                <w:caps w:val="false"/>
                <w:smallCaps w:val="false"/>
              </w:rPr>
              <w:t> </w:t>
            </w:r>
            <w:bookmarkStart w:id="453" w:name="xdx_40E_eus-gaap--FiniteLivedIntangibleA"/>
            <w:bookmarkEnd w:id="453"/>
          </w:p>
        </w:tc>
      </w:tr>
      <w:tr>
        <w:trPr/>
        <w:tc>
          <w:tcPr>
            <w:tcW w:w="327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Trade name</w:t>
            </w:r>
            <w:bookmarkStart w:id="454" w:name="xdx_F44_zZrfQ5ZU8NGi"/>
            <w:bookmarkEnd w:id="454"/>
            <w:r>
              <w:rPr>
                <w:rFonts w:ascii="Times New Roman;Times;Serif" w:hAnsi="Times New Roman;Times;Serif"/>
                <w:b w:val="false"/>
                <w:i w:val="false"/>
                <w:caps w:val="false"/>
                <w:smallCaps w:val="false"/>
                <w:sz w:val="20"/>
              </w:rPr>
              <w:t>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0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5,100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8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9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455" w:name="xdx_40A_eus-gaap--FiniteLivedIntangibleA"/>
            <w:bookmarkEnd w:id="455"/>
          </w:p>
        </w:tc>
      </w:tr>
      <w:tr>
        <w:trPr/>
        <w:tc>
          <w:tcPr>
            <w:tcW w:w="327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Developed technology</w:t>
            </w:r>
            <w:bookmarkStart w:id="456" w:name="xdx_F44_zAYcid4jXvE1"/>
            <w:bookmarkEnd w:id="456"/>
            <w:r>
              <w:rPr>
                <w:rFonts w:ascii="Times New Roman;Times;Serif" w:hAnsi="Times New Roman;Times;Serif"/>
                <w:b w:val="false"/>
                <w:i w:val="false"/>
                <w:caps w:val="false"/>
                <w:smallCaps w:val="false"/>
                <w:sz w:val="20"/>
              </w:rPr>
              <w:t>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40,000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8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457" w:name="xdx_404_eus-gaap--FiniteLivedIntangibleA"/>
            <w:bookmarkEnd w:id="457"/>
          </w:p>
        </w:tc>
      </w:tr>
      <w:tr>
        <w:trPr/>
        <w:tc>
          <w:tcPr>
            <w:tcW w:w="327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Legal and compliance framework</w:t>
            </w:r>
            <w:bookmarkStart w:id="458" w:name="xdx_F44_zu8iV9uMTpYl"/>
            <w:bookmarkEnd w:id="458"/>
            <w:r>
              <w:rPr>
                <w:rFonts w:ascii="Times New Roman;Times;Serif" w:hAnsi="Times New Roman;Times;Serif"/>
                <w:b w:val="false"/>
                <w:i w:val="false"/>
                <w:caps w:val="false"/>
                <w:smallCaps w:val="false"/>
                <w:sz w:val="20"/>
              </w:rPr>
              <w:t>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0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2,400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8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459" w:name="xdx_402_eus-gaap--FiniteLivedIntangibleA"/>
            <w:bookmarkEnd w:id="459"/>
          </w:p>
        </w:tc>
      </w:tr>
      <w:tr>
        <w:trPr/>
        <w:tc>
          <w:tcPr>
            <w:tcW w:w="327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Patents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2"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07"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82"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93"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380</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460" w:name="xdx_403_eus-gaap--FiniteLivedIntangibleA"/>
            <w:bookmarkEnd w:id="460"/>
          </w:p>
        </w:tc>
      </w:tr>
      <w:tr>
        <w:trPr/>
        <w:tc>
          <w:tcPr>
            <w:tcW w:w="327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0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47,880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8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380</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461" w:name="xdx_40B_ecustom--FiniteLivedIntangibleAs"/>
            <w:bookmarkEnd w:id="461"/>
          </w:p>
        </w:tc>
      </w:tr>
      <w:tr>
        <w:trPr/>
        <w:tc>
          <w:tcPr>
            <w:tcW w:w="327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Foreign currency translation adjustment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(369</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8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462" w:name="xdx_405_eus-gaap--FiniteLivedIntangibleA"/>
            <w:bookmarkEnd w:id="462"/>
          </w:p>
        </w:tc>
      </w:tr>
      <w:tr>
        <w:trPr/>
        <w:tc>
          <w:tcPr>
            <w:tcW w:w="327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Accumulated amortization</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2"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0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(2,101</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82"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93"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463" w:name="xdx_402_eus-gaap--FiniteLivedIntangibleA"/>
            <w:bookmarkEnd w:id="463"/>
          </w:p>
        </w:tc>
      </w:tr>
      <w:tr>
        <w:trPr/>
        <w:tc>
          <w:tcPr>
            <w:tcW w:w="327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Intangible assets, net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2"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07"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45,410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82"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93"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269</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41"/>
        <w:gridCol w:w="9989"/>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4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bookmarkStart w:id="464" w:name="xdx_F0A_zhp9eEdyoVZ4"/>
            <w:bookmarkEnd w:id="464"/>
            <w:r>
              <w:rPr>
                <w:rFonts w:ascii="Times New Roman;Times;Serif" w:hAnsi="Times New Roman;Times;Serif"/>
                <w:b w:val="false"/>
                <w:i w:val="false"/>
                <w:caps w:val="false"/>
                <w:smallCaps w:val="false"/>
                <w:sz w:val="20"/>
              </w:rPr>
              <w:t>1)</w:t>
            </w:r>
          </w:p>
        </w:tc>
        <w:tc>
          <w:tcPr>
            <w:tcW w:w="998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bookmarkStart w:id="465" w:name="xdx_F18_zdEEwlAu70cj"/>
            <w:bookmarkEnd w:id="465"/>
            <w:r>
              <w:rPr>
                <w:rFonts w:ascii="Times New Roman;Times;Serif" w:hAnsi="Times New Roman;Times;Serif"/>
                <w:b w:val="false"/>
                <w:i w:val="false"/>
                <w:caps w:val="false"/>
                <w:smallCaps w:val="false"/>
                <w:sz w:val="20"/>
              </w:rPr>
              <w:t>Intangible assets acquired in connection with the Streamex Exchange acquisition were initially measured in Canadian dollars and translated into U.S. dollars using the exchange rate in effect on the acquisition date. Subsequent changes in exchange rates are reflected in the carrying amounts presented above and recorded in other comprehensive loss as part of the cumulative translation adjustment.</w:t>
            </w:r>
          </w:p>
        </w:tc>
      </w:tr>
    </w:tbl>
    <w:p>
      <w:pPr>
        <w:pStyle w:val="TextBody"/>
        <w:bidi w:val="0"/>
        <w:spacing w:before="0" w:after="0"/>
        <w:ind w:left="0" w:right="0" w:hanging="0"/>
        <w:jc w:val="center"/>
        <w:rPr>
          <w:caps w:val="false"/>
          <w:smallCaps w:val="false"/>
        </w:rPr>
      </w:pPr>
      <w:bookmarkStart w:id="466" w:name="xdx_8A5_zyGS1yXbSGd9"/>
      <w:bookmarkEnd w:id="466"/>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13</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STREAMEX CORP.</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THE CONDENSED CONSOLIDATED FINANCIAL STATEMENTS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SEPTEMBER 30, 2025 </w:t>
      </w:r>
      <w:r>
        <w:rPr>
          <w:rFonts w:ascii="Times New Roman;Times;Serif" w:hAnsi="Times New Roman;Times;Serif"/>
          <w:b/>
          <w:i/>
          <w:caps w:val="false"/>
          <w:smallCaps w:val="false"/>
          <w:sz w:val="20"/>
        </w:rPr>
        <w:t>(</w:t>
      </w:r>
      <w:r>
        <w:rPr>
          <w:rFonts w:ascii="Times New Roman;Times;Serif" w:hAnsi="Times New Roman;Times;Serif"/>
          <w:b/>
          <w:i w:val="false"/>
          <w:caps w:val="false"/>
          <w:smallCaps w:val="false"/>
          <w:sz w:val="20"/>
        </w:rPr>
        <w:t>Unaudited</w:t>
      </w:r>
      <w:r>
        <w:rPr>
          <w:rFonts w:ascii="Times New Roman;Times;Serif" w:hAnsi="Times New Roman;Times;Serif"/>
          <w:b/>
          <w:i/>
          <w:caps w:val="false"/>
          <w:smallCaps w:val="false"/>
          <w:sz w:val="20"/>
        </w:rPr>
        <w: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Amortization expenses were $</w:t>
      </w:r>
      <w:bookmarkStart w:id="467" w:name="xdx_90A_eus-gaap--AmortizationOfIntangib"/>
      <w:bookmarkEnd w:id="467"/>
      <w:r>
        <w:rPr>
          <w:rFonts w:ascii="Times New Roman;Times;Serif" w:hAnsi="Times New Roman;Times;Serif"/>
          <w:b w:val="false"/>
          <w:i w:val="false"/>
          <w:caps w:val="false"/>
          <w:smallCaps w:val="false"/>
          <w:sz w:val="20"/>
        </w:rPr>
        <w:t>1.5 million and $</w:t>
      </w:r>
      <w:bookmarkStart w:id="468" w:name="xdx_907_eus-gaap--AmortizationOfIntangib"/>
      <w:bookmarkEnd w:id="468"/>
      <w:r>
        <w:rPr>
          <w:rFonts w:ascii="Times New Roman;Times;Serif" w:hAnsi="Times New Roman;Times;Serif"/>
          <w:b w:val="false"/>
          <w:i w:val="false"/>
          <w:caps w:val="false"/>
          <w:smallCaps w:val="false"/>
          <w:sz w:val="20"/>
        </w:rPr>
        <w:t>2.0 million for the three and nine months ended September 30, 2025, respectively. Amortization expenses were $</w:t>
      </w:r>
      <w:bookmarkStart w:id="469" w:name="xdx_90B_eus-gaap--AmortizationOfIntangib"/>
      <w:bookmarkEnd w:id="469"/>
      <w:r>
        <w:rPr>
          <w:rFonts w:ascii="Times New Roman;Times;Serif" w:hAnsi="Times New Roman;Times;Serif"/>
          <w:b w:val="false"/>
          <w:i w:val="false"/>
          <w:caps w:val="false"/>
          <w:smallCaps w:val="false"/>
          <w:sz w:val="20"/>
        </w:rPr>
        <w:t>5 thousand and $</w:t>
      </w:r>
      <w:bookmarkStart w:id="470" w:name="xdx_906_eus-gaap--AmortizationOfIntangib"/>
      <w:bookmarkEnd w:id="470"/>
      <w:r>
        <w:rPr>
          <w:rFonts w:ascii="Times New Roman;Times;Serif" w:hAnsi="Times New Roman;Times;Serif"/>
          <w:b w:val="false"/>
          <w:i w:val="false"/>
          <w:caps w:val="false"/>
          <w:smallCaps w:val="false"/>
          <w:sz w:val="20"/>
        </w:rPr>
        <w:t>14 thousand for the three and nine months ended September 30, 2024,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471" w:name="xdx_892_eus-gaap--ScheduleofFiniteLivedI"/>
      <w:bookmarkEnd w:id="471"/>
      <w:r>
        <w:rPr>
          <w:rFonts w:ascii="Times New Roman;Times;Serif" w:hAnsi="Times New Roman;Times;Serif"/>
          <w:b w:val="false"/>
          <w:i w:val="false"/>
          <w:caps w:val="false"/>
          <w:smallCaps w:val="false"/>
          <w:sz w:val="20"/>
        </w:rPr>
        <w:t>Expected future amortization expense of intangible assets as of September 30, 2025, is as follows:</w:t>
      </w:r>
    </w:p>
    <w:p>
      <w:pPr>
        <w:pStyle w:val="TextBody"/>
        <w:bidi w:val="0"/>
        <w:spacing w:before="0" w:after="0"/>
        <w:ind w:left="0" w:right="0" w:hanging="0"/>
        <w:jc w:val="both"/>
        <w:rPr>
          <w:caps w:val="false"/>
          <w:smallCaps w:val="false"/>
        </w:rPr>
      </w:pPr>
      <w:r>
        <w:rPr>
          <w:caps w:val="false"/>
          <w:smallCaps w:val="false"/>
        </w:rPr>
        <w:t> </w:t>
      </w:r>
      <w:bookmarkStart w:id="472" w:name="xdx_8B9_zhtjIWcntRpb"/>
      <w:bookmarkEnd w:id="472"/>
      <w:r>
        <w:rPr>
          <w:rFonts w:ascii="Times New Roman;Times;Serif" w:hAnsi="Times New Roman;Times;Serif"/>
          <w:b w:val="false"/>
          <w:i w:val="false"/>
          <w:caps w:val="false"/>
          <w:smallCaps w:val="false"/>
          <w:sz w:val="20"/>
        </w:rPr>
        <w:t>SCHEDULE OF FUTURE AMORTIZATION EXPENSE OF INTANGIBLE ASSETS</w:t>
      </w:r>
    </w:p>
    <w:tbl>
      <w:tblPr>
        <w:tblW w:w="2445" w:type="dxa"/>
        <w:jc w:val="left"/>
        <w:tblInd w:w="0" w:type="dxa"/>
        <w:tblLayout w:type="fixed"/>
        <w:tblCellMar>
          <w:top w:w="0" w:type="dxa"/>
          <w:left w:w="0" w:type="dxa"/>
          <w:bottom w:w="0" w:type="dxa"/>
          <w:right w:w="0" w:type="dxa"/>
        </w:tblCellMar>
      </w:tblPr>
      <w:tblGrid>
        <w:gridCol w:w="1595"/>
        <w:gridCol w:w="60"/>
        <w:gridCol w:w="125"/>
        <w:gridCol w:w="590"/>
        <w:gridCol w:w="75"/>
      </w:tblGrid>
      <w:tr>
        <w:trPr/>
        <w:tc>
          <w:tcPr>
            <w:tcW w:w="1595"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473" w:name="xdx_498_20250930_zEEEOYMAgcN3"/>
            <w:bookmarkEnd w:id="473"/>
          </w:p>
        </w:tc>
        <w:tc>
          <w:tcPr>
            <w:tcW w:w="59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474" w:name="xdx_402_eus-gaap--FiniteLivedIntangibleA"/>
            <w:bookmarkEnd w:id="474"/>
          </w:p>
        </w:tc>
      </w:tr>
      <w:tr>
        <w:trPr/>
        <w:tc>
          <w:tcPr>
            <w:tcW w:w="159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Remainder of 2025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1,457</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475" w:name="xdx_400_eus-gaap--FiniteLivedIntangibleA"/>
            <w:bookmarkEnd w:id="475"/>
          </w:p>
        </w:tc>
      </w:tr>
      <w:tr>
        <w:trPr/>
        <w:tc>
          <w:tcPr>
            <w:tcW w:w="159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5,826</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476" w:name="xdx_402_eus-gaap--FiniteLivedIntangibleA"/>
            <w:bookmarkEnd w:id="476"/>
          </w:p>
        </w:tc>
      </w:tr>
      <w:tr>
        <w:trPr/>
        <w:tc>
          <w:tcPr>
            <w:tcW w:w="159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2027</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5,826</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477" w:name="xdx_402_eus-gaap--FiniteLivedIntangibleA"/>
            <w:bookmarkEnd w:id="477"/>
          </w:p>
        </w:tc>
      </w:tr>
      <w:tr>
        <w:trPr/>
        <w:tc>
          <w:tcPr>
            <w:tcW w:w="159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2028</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5,826</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478" w:name="xdx_408_eus-gaap--FiniteLivedIntangibleA"/>
            <w:bookmarkEnd w:id="478"/>
          </w:p>
        </w:tc>
      </w:tr>
      <w:tr>
        <w:trPr/>
        <w:tc>
          <w:tcPr>
            <w:tcW w:w="159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2029</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5,826</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479" w:name="xdx_408_ecustom--FiniteLivedIntangibleAs"/>
            <w:bookmarkEnd w:id="479"/>
          </w:p>
        </w:tc>
      </w:tr>
      <w:tr>
        <w:trPr/>
        <w:tc>
          <w:tcPr>
            <w:tcW w:w="159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Thereafter</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9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20,649</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480" w:name="xdx_405_eus-gaap--FiniteLivedIntangibleA"/>
            <w:bookmarkEnd w:id="480"/>
          </w:p>
        </w:tc>
      </w:tr>
      <w:tr>
        <w:trPr/>
        <w:tc>
          <w:tcPr>
            <w:tcW w:w="159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9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45,410</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both"/>
        <w:rPr>
          <w:caps w:val="false"/>
          <w:smallCaps w:val="false"/>
        </w:rPr>
      </w:pPr>
      <w:bookmarkStart w:id="481" w:name="xdx_8A3_z6ZjZni1VPGk"/>
      <w:bookmarkEnd w:id="481"/>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482" w:name="xdx_801_eus-gaap--LesseeOperatingLeasesT"/>
      <w:bookmarkEnd w:id="482"/>
      <w:r>
        <w:rPr>
          <w:rFonts w:ascii="Times New Roman;Times;Serif" w:hAnsi="Times New Roman;Times;Serif"/>
          <w:b/>
          <w:i w:val="false"/>
          <w:caps w:val="false"/>
          <w:smallCaps w:val="false"/>
          <w:sz w:val="20"/>
        </w:rPr>
        <w:t>NOTE 6</w:t>
      </w:r>
      <w:r>
        <w:rPr>
          <w:rFonts w:ascii="Times New Roman;Times;Serif" w:hAnsi="Times New Roman;Times;Serif"/>
          <w:b w:val="false"/>
          <w:i w:val="false"/>
          <w:caps w:val="false"/>
          <w:smallCaps w:val="false"/>
          <w:sz w:val="20"/>
        </w:rPr>
        <w:t xml:space="preserve"> – </w:t>
      </w:r>
      <w:bookmarkStart w:id="483" w:name="xdx_82D_zmdqFFhoPpoi"/>
      <w:bookmarkEnd w:id="483"/>
      <w:r>
        <w:rPr>
          <w:rFonts w:ascii="Times New Roman;Times;Serif" w:hAnsi="Times New Roman;Times;Serif"/>
          <w:b/>
          <w:i w:val="false"/>
          <w:caps w:val="false"/>
          <w:smallCaps w:val="false"/>
          <w:sz w:val="20"/>
        </w:rPr>
        <w:t>RIGHT TO USE ASSETS AND LEASE LIABILITY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September 30, 2025 and December 31, 2024, the Company had one operating lease with payments of $</w:t>
      </w:r>
      <w:bookmarkStart w:id="484" w:name="xdx_909_eus-gaap--OperatingLeasePayments"/>
      <w:bookmarkStart w:id="485" w:name="xdx_90E_eus-gaap--OperatingLeasePayments"/>
      <w:bookmarkEnd w:id="484"/>
      <w:bookmarkEnd w:id="485"/>
      <w:r>
        <w:rPr>
          <w:rFonts w:ascii="Times New Roman;Times;Serif" w:hAnsi="Times New Roman;Times;Serif"/>
          <w:b w:val="false"/>
          <w:i w:val="false"/>
          <w:caps w:val="false"/>
          <w:smallCaps w:val="false"/>
          <w:sz w:val="20"/>
        </w:rPr>
        <w:t xml:space="preserve">15 per month, that </w:t>
      </w:r>
      <w:bookmarkStart w:id="486" w:name="xdx_90C_eus-gaap--LesseeOperatingLeaseDe"/>
      <w:bookmarkStart w:id="487" w:name="xdx_90D_eus-gaap--LesseeOperatingLeaseDe"/>
      <w:bookmarkEnd w:id="486"/>
      <w:bookmarkEnd w:id="487"/>
      <w:r>
        <w:rPr>
          <w:rFonts w:ascii="Times New Roman;Times;Serif" w:hAnsi="Times New Roman;Times;Serif"/>
          <w:b w:val="false"/>
          <w:i w:val="false"/>
          <w:caps w:val="false"/>
          <w:smallCaps w:val="false"/>
          <w:sz w:val="20"/>
        </w:rPr>
        <w:t>expired on July 31,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488" w:name="xdx_89E_ecustom--RightToUseAssetTableTex"/>
      <w:bookmarkEnd w:id="488"/>
      <w:r>
        <w:rPr>
          <w:rFonts w:ascii="Times New Roman;Times;Serif" w:hAnsi="Times New Roman;Times;Serif"/>
          <w:b w:val="false"/>
          <w:i w:val="false"/>
          <w:caps w:val="false"/>
          <w:smallCaps w:val="false"/>
          <w:sz w:val="20"/>
        </w:rPr>
        <w:t>Right to use assets is summarized below:</w:t>
      </w:r>
    </w:p>
    <w:p>
      <w:pPr>
        <w:pStyle w:val="TextBody"/>
        <w:bidi w:val="0"/>
        <w:spacing w:before="0" w:after="0"/>
        <w:ind w:left="0" w:right="0" w:hanging="0"/>
        <w:jc w:val="both"/>
        <w:rPr>
          <w:caps w:val="false"/>
          <w:smallCaps w:val="false"/>
        </w:rPr>
      </w:pPr>
      <w:r>
        <w:rPr>
          <w:caps w:val="false"/>
          <w:smallCaps w:val="false"/>
        </w:rPr>
        <w:t> </w:t>
      </w:r>
      <w:bookmarkStart w:id="489" w:name="xdx_8B6_zV92MrjLTh1i"/>
      <w:bookmarkEnd w:id="489"/>
      <w:r>
        <w:rPr>
          <w:rFonts w:ascii="Times New Roman;Times;Serif" w:hAnsi="Times New Roman;Times;Serif"/>
          <w:b w:val="false"/>
          <w:i w:val="false"/>
          <w:caps w:val="false"/>
          <w:smallCaps w:val="false"/>
          <w:sz w:val="20"/>
        </w:rPr>
        <w:t>SCHEDULE OF RIGHT TO USE ASSETS</w:t>
      </w:r>
    </w:p>
    <w:tbl>
      <w:tblPr>
        <w:tblW w:w="6158" w:type="dxa"/>
        <w:jc w:val="left"/>
        <w:tblInd w:w="0" w:type="dxa"/>
        <w:tblLayout w:type="fixed"/>
        <w:tblCellMar>
          <w:top w:w="0" w:type="dxa"/>
          <w:left w:w="0" w:type="dxa"/>
          <w:bottom w:w="0" w:type="dxa"/>
          <w:right w:w="0" w:type="dxa"/>
        </w:tblCellMar>
      </w:tblPr>
      <w:tblGrid>
        <w:gridCol w:w="2945"/>
        <w:gridCol w:w="60"/>
        <w:gridCol w:w="306"/>
        <w:gridCol w:w="1168"/>
        <w:gridCol w:w="95"/>
        <w:gridCol w:w="60"/>
        <w:gridCol w:w="295"/>
        <w:gridCol w:w="1119"/>
        <w:gridCol w:w="110"/>
      </w:tblGrid>
      <w:tr>
        <w:trPr/>
        <w:tc>
          <w:tcPr>
            <w:tcW w:w="29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490" w:name="xdx_495_20250930_zcMUUCdjFQR3"/>
            <w:bookmarkEnd w:id="490"/>
          </w:p>
        </w:tc>
        <w:tc>
          <w:tcPr>
            <w:tcW w:w="1474" w:type="dxa"/>
            <w:gridSpan w:val="2"/>
            <w:tcBorders/>
            <w:vAlign w:val="center"/>
          </w:tcPr>
          <w:p>
            <w:pPr>
              <w:pStyle w:val="TableContents"/>
              <w:bidi w:val="0"/>
              <w:spacing w:before="0" w:after="283"/>
              <w:jc w:val="center"/>
              <w:rPr>
                <w:b/>
              </w:rPr>
            </w:pPr>
            <w:r>
              <w:rPr>
                <w:b/>
              </w:rPr>
              <w:t>September 30,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491" w:name="xdx_49B_20241231_zrUMgaAkOmLd"/>
            <w:bookmarkEnd w:id="491"/>
          </w:p>
        </w:tc>
        <w:tc>
          <w:tcPr>
            <w:tcW w:w="1414" w:type="dxa"/>
            <w:gridSpan w:val="2"/>
            <w:tcBorders/>
            <w:vAlign w:val="center"/>
          </w:tcPr>
          <w:p>
            <w:pPr>
              <w:pStyle w:val="TableContents"/>
              <w:bidi w:val="0"/>
              <w:spacing w:before="0" w:after="283"/>
              <w:jc w:val="center"/>
              <w:rPr>
                <w:b/>
              </w:rPr>
            </w:pPr>
            <w:r>
              <w:rPr>
                <w:b/>
              </w:rPr>
              <w:t>December 31,</w:t>
            </w:r>
          </w:p>
        </w:tc>
        <w:tc>
          <w:tcPr>
            <w:tcW w:w="110" w:type="dxa"/>
            <w:tcBorders/>
            <w:vAlign w:val="center"/>
          </w:tcPr>
          <w:p>
            <w:pPr>
              <w:pStyle w:val="TableContents"/>
              <w:bidi w:val="0"/>
              <w:spacing w:before="0" w:after="283"/>
              <w:jc w:val="left"/>
              <w:rPr/>
            </w:pPr>
            <w:r>
              <w:rPr/>
              <w:t> </w:t>
            </w:r>
          </w:p>
        </w:tc>
      </w:tr>
      <w:tr>
        <w:trPr/>
        <w:tc>
          <w:tcPr>
            <w:tcW w:w="29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74" w:type="dxa"/>
            <w:gridSpan w:val="2"/>
            <w:tcBorders/>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vAlign w:val="center"/>
          </w:tcPr>
          <w:p>
            <w:pPr>
              <w:pStyle w:val="TableContents"/>
              <w:bidi w:val="0"/>
              <w:spacing w:before="0" w:after="283"/>
              <w:jc w:val="center"/>
              <w:rPr>
                <w:b/>
              </w:rPr>
            </w:pPr>
            <w:r>
              <w:rPr>
                <w:b/>
              </w:rPr>
              <w:t>2024</w:t>
            </w:r>
          </w:p>
        </w:tc>
        <w:tc>
          <w:tcPr>
            <w:tcW w:w="110" w:type="dxa"/>
            <w:tcBorders/>
            <w:vAlign w:val="center"/>
          </w:tcPr>
          <w:p>
            <w:pPr>
              <w:pStyle w:val="TableContents"/>
              <w:bidi w:val="0"/>
              <w:spacing w:before="0" w:after="283"/>
              <w:jc w:val="left"/>
              <w:rPr/>
            </w:pPr>
            <w:r>
              <w:rPr/>
              <w:t> </w:t>
            </w:r>
          </w:p>
        </w:tc>
      </w:tr>
      <w:tr>
        <w:trPr/>
        <w:tc>
          <w:tcPr>
            <w:tcW w:w="294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306" w:type="dxa"/>
            <w:tcBorders>
              <w:bottom w:val="single" w:sz="8" w:space="0" w:color="000000"/>
            </w:tcBorders>
            <w:shd w:fill="FFFFFF" w:val="clear"/>
            <w:tcMar>
              <w:bottom w:w="28" w:type="dxa"/>
            </w:tcMar>
            <w:vAlign w:val="center"/>
          </w:tcPr>
          <w:p>
            <w:pPr>
              <w:pStyle w:val="TableContents"/>
              <w:bidi w:val="0"/>
              <w:spacing w:before="0" w:after="283"/>
              <w:jc w:val="center"/>
              <w:rPr/>
            </w:pPr>
            <w:r>
              <w:rPr/>
              <w:t> </w:t>
            </w:r>
          </w:p>
        </w:tc>
        <w:tc>
          <w:tcPr>
            <w:tcW w:w="1168" w:type="dxa"/>
            <w:tcBorders>
              <w:bottom w:val="single" w:sz="8" w:space="0" w:color="000000"/>
            </w:tcBorders>
            <w:shd w:fill="FFFFFF" w:val="clear"/>
            <w:tcMar>
              <w:bottom w:w="28" w:type="dxa"/>
            </w:tcMar>
            <w:vAlign w:val="center"/>
          </w:tcPr>
          <w:p>
            <w:pPr>
              <w:pStyle w:val="TableContents"/>
              <w:bidi w:val="0"/>
              <w:spacing w:before="0" w:after="283"/>
              <w:jc w:val="center"/>
              <w:rPr>
                <w:b/>
              </w:rPr>
            </w:pPr>
            <w:r>
              <w:rPr>
                <w:b/>
              </w:rPr>
              <w:t>(000’s)</w:t>
            </w:r>
          </w:p>
        </w:tc>
        <w:tc>
          <w:tcPr>
            <w:tcW w:w="95"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center"/>
              <w:rPr/>
            </w:pPr>
            <w:r>
              <w:rPr/>
              <w:t> </w:t>
            </w:r>
          </w:p>
        </w:tc>
        <w:tc>
          <w:tcPr>
            <w:tcW w:w="295" w:type="dxa"/>
            <w:tcBorders>
              <w:bottom w:val="single" w:sz="8" w:space="0" w:color="000000"/>
            </w:tcBorders>
            <w:shd w:fill="FFFFFF" w:val="clear"/>
            <w:tcMar>
              <w:bottom w:w="28" w:type="dxa"/>
            </w:tcMar>
            <w:vAlign w:val="center"/>
          </w:tcPr>
          <w:p>
            <w:pPr>
              <w:pStyle w:val="TableContents"/>
              <w:bidi w:val="0"/>
              <w:spacing w:before="0" w:after="283"/>
              <w:jc w:val="center"/>
              <w:rPr/>
            </w:pPr>
            <w:r>
              <w:rPr/>
              <w:t> </w:t>
            </w:r>
          </w:p>
        </w:tc>
        <w:tc>
          <w:tcPr>
            <w:tcW w:w="1119" w:type="dxa"/>
            <w:tcBorders>
              <w:bottom w:val="single" w:sz="8" w:space="0" w:color="000000"/>
            </w:tcBorders>
            <w:shd w:fill="FFFFFF" w:val="clear"/>
            <w:tcMar>
              <w:bottom w:w="28" w:type="dxa"/>
            </w:tcMar>
            <w:vAlign w:val="center"/>
          </w:tcPr>
          <w:p>
            <w:pPr>
              <w:pStyle w:val="TableContents"/>
              <w:bidi w:val="0"/>
              <w:spacing w:before="0" w:after="283"/>
              <w:jc w:val="center"/>
              <w:rPr>
                <w:b/>
              </w:rPr>
            </w:pPr>
            <w:r>
              <w:rPr>
                <w:b/>
              </w:rPr>
              <w:t>(000’s)</w:t>
            </w:r>
          </w:p>
        </w:tc>
        <w:tc>
          <w:tcPr>
            <w:tcW w:w="110" w:type="dxa"/>
            <w:tcBorders/>
            <w:shd w:fill="FFFFFF" w:val="clear"/>
            <w:vAlign w:val="center"/>
          </w:tcPr>
          <w:p>
            <w:pPr>
              <w:pStyle w:val="TableContents"/>
              <w:bidi w:val="0"/>
              <w:spacing w:before="0" w:after="283"/>
              <w:jc w:val="left"/>
              <w:rPr>
                <w:sz w:val="4"/>
                <w:szCs w:val="4"/>
              </w:rPr>
            </w:pPr>
            <w:r>
              <w:rPr>
                <w:sz w:val="4"/>
                <w:szCs w:val="4"/>
              </w:rPr>
            </w:r>
            <w:bookmarkStart w:id="492" w:name="xdx_40A_ecustom--OperatingLeaseRightToUs"/>
            <w:bookmarkStart w:id="493" w:name="xdx_40A_ecustom--OperatingLeaseRightToUs"/>
            <w:bookmarkEnd w:id="493"/>
          </w:p>
        </w:tc>
      </w:tr>
      <w:tr>
        <w:trPr/>
        <w:tc>
          <w:tcPr>
            <w:tcW w:w="2945" w:type="dxa"/>
            <w:tcBorders/>
            <w:shd w:fill="CCEEFF" w:val="clear"/>
            <w:vAlign w:val="center"/>
          </w:tcPr>
          <w:p>
            <w:pPr>
              <w:pStyle w:val="TableContents"/>
              <w:bidi w:val="0"/>
              <w:spacing w:before="0" w:after="283"/>
              <w:jc w:val="left"/>
              <w:rPr/>
            </w:pPr>
            <w:r>
              <w:rPr/>
              <w:t>Right to use asset</w:t>
            </w:r>
          </w:p>
        </w:tc>
        <w:tc>
          <w:tcPr>
            <w:tcW w:w="60" w:type="dxa"/>
            <w:tcBorders/>
            <w:shd w:fill="CCEEFF" w:val="clear"/>
            <w:vAlign w:val="center"/>
          </w:tcPr>
          <w:p>
            <w:pPr>
              <w:pStyle w:val="TableContents"/>
              <w:bidi w:val="0"/>
              <w:spacing w:before="0" w:after="283"/>
              <w:jc w:val="left"/>
              <w:rPr/>
            </w:pPr>
            <w:r>
              <w:rPr/>
              <w:t> </w:t>
            </w:r>
          </w:p>
        </w:tc>
        <w:tc>
          <w:tcPr>
            <w:tcW w:w="306" w:type="dxa"/>
            <w:tcBorders/>
            <w:shd w:fill="CCEEFF" w:val="clear"/>
            <w:vAlign w:val="center"/>
          </w:tcPr>
          <w:p>
            <w:pPr>
              <w:pStyle w:val="TableContents"/>
              <w:bidi w:val="0"/>
              <w:spacing w:before="0" w:after="283"/>
              <w:jc w:val="left"/>
              <w:rPr/>
            </w:pPr>
            <w:r>
              <w:rPr/>
              <w:t>$</w:t>
            </w:r>
          </w:p>
        </w:tc>
        <w:tc>
          <w:tcPr>
            <w:tcW w:w="1168" w:type="dxa"/>
            <w:tcBorders/>
            <w:shd w:fill="CCEEFF" w:val="clear"/>
            <w:vAlign w:val="center"/>
          </w:tcPr>
          <w:p>
            <w:pPr>
              <w:pStyle w:val="TableContents"/>
              <w:bidi w:val="0"/>
              <w:spacing w:before="0" w:after="283"/>
              <w:jc w:val="right"/>
              <w:rPr/>
            </w:pPr>
            <w:r>
              <w:rPr/>
              <w:t>502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5" w:type="dxa"/>
            <w:tcBorders/>
            <w:shd w:fill="CCEEFF" w:val="clear"/>
            <w:vAlign w:val="center"/>
          </w:tcPr>
          <w:p>
            <w:pPr>
              <w:pStyle w:val="TableContents"/>
              <w:bidi w:val="0"/>
              <w:spacing w:before="0" w:after="283"/>
              <w:jc w:val="left"/>
              <w:rPr/>
            </w:pPr>
            <w:r>
              <w:rPr/>
              <w:t>$</w:t>
            </w:r>
          </w:p>
        </w:tc>
        <w:tc>
          <w:tcPr>
            <w:tcW w:w="1119" w:type="dxa"/>
            <w:tcBorders/>
            <w:shd w:fill="CCEEFF" w:val="clear"/>
            <w:vAlign w:val="center"/>
          </w:tcPr>
          <w:p>
            <w:pPr>
              <w:pStyle w:val="TableContents"/>
              <w:bidi w:val="0"/>
              <w:spacing w:before="0" w:after="283"/>
              <w:jc w:val="right"/>
              <w:rPr/>
            </w:pPr>
            <w:r>
              <w:rPr/>
              <w:t>502</w:t>
            </w:r>
          </w:p>
        </w:tc>
        <w:tc>
          <w:tcPr>
            <w:tcW w:w="110" w:type="dxa"/>
            <w:tcBorders/>
            <w:shd w:fill="CCEEFF" w:val="clear"/>
            <w:vAlign w:val="center"/>
          </w:tcPr>
          <w:p>
            <w:pPr>
              <w:pStyle w:val="TableContents"/>
              <w:bidi w:val="0"/>
              <w:spacing w:before="0" w:after="283"/>
              <w:jc w:val="left"/>
              <w:rPr/>
            </w:pPr>
            <w:r>
              <w:rPr/>
              <w:t> </w:t>
            </w:r>
            <w:bookmarkStart w:id="494" w:name="xdx_40B_ecustom--OperatingLeaseRightToUs"/>
            <w:bookmarkEnd w:id="494"/>
          </w:p>
        </w:tc>
      </w:tr>
      <w:tr>
        <w:trPr/>
        <w:tc>
          <w:tcPr>
            <w:tcW w:w="2945" w:type="dxa"/>
            <w:tcBorders/>
            <w:shd w:fill="FFFFFF" w:val="clear"/>
            <w:vAlign w:val="center"/>
          </w:tcPr>
          <w:p>
            <w:pPr>
              <w:pStyle w:val="TableContents"/>
              <w:bidi w:val="0"/>
              <w:spacing w:before="0" w:after="283"/>
              <w:jc w:val="left"/>
              <w:rPr/>
            </w:pPr>
            <w:r>
              <w:rPr/>
              <w:t>Less accumulated amortization</w:t>
            </w:r>
          </w:p>
        </w:tc>
        <w:tc>
          <w:tcPr>
            <w:tcW w:w="60" w:type="dxa"/>
            <w:tcBorders/>
            <w:shd w:fill="FFFFFF" w:val="clear"/>
            <w:vAlign w:val="center"/>
          </w:tcPr>
          <w:p>
            <w:pPr>
              <w:pStyle w:val="TableContents"/>
              <w:bidi w:val="0"/>
              <w:spacing w:before="0" w:after="283"/>
              <w:jc w:val="left"/>
              <w:rPr/>
            </w:pPr>
            <w:r>
              <w:rPr/>
              <w:t> </w:t>
            </w:r>
          </w:p>
        </w:tc>
        <w:tc>
          <w:tcPr>
            <w:tcW w:w="30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68" w:type="dxa"/>
            <w:tcBorders>
              <w:bottom w:val="single" w:sz="8" w:space="0" w:color="000000"/>
            </w:tcBorders>
            <w:shd w:fill="FFFFFF" w:val="clear"/>
            <w:tcMar>
              <w:bottom w:w="28" w:type="dxa"/>
            </w:tcMar>
            <w:vAlign w:val="center"/>
          </w:tcPr>
          <w:p>
            <w:pPr>
              <w:pStyle w:val="TableContents"/>
              <w:bidi w:val="0"/>
              <w:spacing w:before="0" w:after="283"/>
              <w:jc w:val="right"/>
              <w:rPr/>
            </w:pPr>
            <w:r>
              <w:rPr/>
              <w:t>(502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9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19" w:type="dxa"/>
            <w:tcBorders>
              <w:bottom w:val="single" w:sz="8" w:space="0" w:color="000000"/>
            </w:tcBorders>
            <w:shd w:fill="FFFFFF" w:val="clear"/>
            <w:tcMar>
              <w:bottom w:w="28" w:type="dxa"/>
            </w:tcMar>
            <w:vAlign w:val="center"/>
          </w:tcPr>
          <w:p>
            <w:pPr>
              <w:pStyle w:val="TableContents"/>
              <w:bidi w:val="0"/>
              <w:spacing w:before="0" w:after="283"/>
              <w:jc w:val="right"/>
              <w:rPr/>
            </w:pPr>
            <w:r>
              <w:rPr/>
              <w:t>(406</w:t>
            </w:r>
          </w:p>
        </w:tc>
        <w:tc>
          <w:tcPr>
            <w:tcW w:w="110" w:type="dxa"/>
            <w:tcBorders/>
            <w:shd w:fill="FFFFFF" w:val="clear"/>
            <w:vAlign w:val="center"/>
          </w:tcPr>
          <w:p>
            <w:pPr>
              <w:pStyle w:val="TableContents"/>
              <w:bidi w:val="0"/>
              <w:spacing w:before="0" w:after="283"/>
              <w:jc w:val="left"/>
              <w:rPr/>
            </w:pPr>
            <w:r>
              <w:rPr/>
              <w:t>)</w:t>
            </w:r>
            <w:bookmarkStart w:id="495" w:name="xdx_403_eus-gaap--OperatingLeaseRightOfU"/>
            <w:bookmarkEnd w:id="495"/>
          </w:p>
        </w:tc>
      </w:tr>
      <w:tr>
        <w:trPr/>
        <w:tc>
          <w:tcPr>
            <w:tcW w:w="2945" w:type="dxa"/>
            <w:tcBorders/>
            <w:shd w:fill="CCEEFF" w:val="clear"/>
            <w:vAlign w:val="center"/>
          </w:tcPr>
          <w:p>
            <w:pPr>
              <w:pStyle w:val="TableContents"/>
              <w:bidi w:val="0"/>
              <w:spacing w:before="0" w:after="283"/>
              <w:jc w:val="left"/>
              <w:rPr/>
            </w:pPr>
            <w:r>
              <w:rPr/>
              <w:t>Right to use assets, net</w:t>
            </w:r>
          </w:p>
        </w:tc>
        <w:tc>
          <w:tcPr>
            <w:tcW w:w="60" w:type="dxa"/>
            <w:tcBorders/>
            <w:shd w:fill="CCEEFF" w:val="clear"/>
            <w:vAlign w:val="center"/>
          </w:tcPr>
          <w:p>
            <w:pPr>
              <w:pStyle w:val="TableContents"/>
              <w:bidi w:val="0"/>
              <w:spacing w:before="0" w:after="283"/>
              <w:jc w:val="left"/>
              <w:rPr/>
            </w:pPr>
            <w:r>
              <w:rPr/>
              <w:t> </w:t>
            </w:r>
          </w:p>
        </w:tc>
        <w:tc>
          <w:tcPr>
            <w:tcW w:w="306"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68"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5"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19" w:type="dxa"/>
            <w:tcBorders>
              <w:bottom w:val="double" w:sz="6" w:space="0" w:color="000000"/>
            </w:tcBorders>
            <w:shd w:fill="CCEEFF" w:val="clear"/>
            <w:tcMar>
              <w:bottom w:w="28" w:type="dxa"/>
            </w:tcMar>
            <w:vAlign w:val="center"/>
          </w:tcPr>
          <w:p>
            <w:pPr>
              <w:pStyle w:val="TableContents"/>
              <w:bidi w:val="0"/>
              <w:spacing w:before="0" w:after="283"/>
              <w:jc w:val="right"/>
              <w:rPr/>
            </w:pPr>
            <w:r>
              <w:rPr/>
              <w:t>96</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bookmarkStart w:id="496" w:name="xdx_8A4_z7vKMD0W8Kq2"/>
      <w:bookmarkEnd w:id="496"/>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three months ended September 30, 2025 and 2024, the Company recorded $</w:t>
      </w:r>
      <w:bookmarkStart w:id="497" w:name="xdx_90A_eus-gaap--OperatingLeaseExpense_"/>
      <w:bookmarkEnd w:id="497"/>
      <w:r>
        <w:rPr>
          <w:rFonts w:ascii="Times New Roman;Times;Serif" w:hAnsi="Times New Roman;Times;Serif"/>
          <w:b w:val="false"/>
          <w:i w:val="false"/>
          <w:caps w:val="false"/>
          <w:smallCaps w:val="false"/>
          <w:sz w:val="20"/>
        </w:rPr>
        <w:t>64 and $</w:t>
      </w:r>
      <w:bookmarkStart w:id="498" w:name="xdx_905_eus-gaap--OperatingLeaseExpense_"/>
      <w:bookmarkEnd w:id="498"/>
      <w:r>
        <w:rPr>
          <w:rFonts w:ascii="Times New Roman;Times;Serif" w:hAnsi="Times New Roman;Times;Serif"/>
          <w:b w:val="false"/>
          <w:i w:val="false"/>
          <w:caps w:val="false"/>
          <w:smallCaps w:val="false"/>
          <w:sz w:val="20"/>
        </w:rPr>
        <w:t>37 as lease expense to current period operations, respectively. During the nine months ended September 30, 2025 and 2024, the Company recorded $</w:t>
      </w:r>
      <w:bookmarkStart w:id="499" w:name="xdx_905_eus-gaap--OperatingLeaseExpense_"/>
      <w:bookmarkEnd w:id="499"/>
      <w:r>
        <w:rPr>
          <w:rFonts w:ascii="Times New Roman;Times;Serif" w:hAnsi="Times New Roman;Times;Serif"/>
          <w:b w:val="false"/>
          <w:i w:val="false"/>
          <w:caps w:val="false"/>
          <w:smallCaps w:val="false"/>
          <w:sz w:val="20"/>
        </w:rPr>
        <w:t>160 and $</w:t>
      </w:r>
      <w:bookmarkStart w:id="500" w:name="xdx_901_eus-gaap--OperatingLeaseExpense_"/>
      <w:bookmarkEnd w:id="500"/>
      <w:r>
        <w:rPr>
          <w:rFonts w:ascii="Times New Roman;Times;Serif" w:hAnsi="Times New Roman;Times;Serif"/>
          <w:b w:val="false"/>
          <w:i w:val="false"/>
          <w:caps w:val="false"/>
          <w:smallCaps w:val="false"/>
          <w:sz w:val="20"/>
        </w:rPr>
        <w:t>203 as lease expense to current period operations,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501" w:name="xdx_894_eus-gaap--LeaseCostTableTextBloc"/>
      <w:bookmarkEnd w:id="501"/>
      <w:r>
        <w:rPr>
          <w:rFonts w:ascii="Times New Roman;Times;Serif" w:hAnsi="Times New Roman;Times;Serif"/>
          <w:b w:val="false"/>
          <w:i w:val="false"/>
          <w:caps w:val="false"/>
          <w:smallCaps w:val="false"/>
          <w:sz w:val="20"/>
        </w:rPr>
        <w:t>Lease liability is summarized below:</w:t>
      </w:r>
    </w:p>
    <w:p>
      <w:pPr>
        <w:pStyle w:val="TextBody"/>
        <w:bidi w:val="0"/>
        <w:spacing w:before="0" w:after="0"/>
        <w:ind w:left="0" w:right="0" w:hanging="0"/>
        <w:jc w:val="both"/>
        <w:rPr>
          <w:caps w:val="false"/>
          <w:smallCaps w:val="false"/>
        </w:rPr>
      </w:pPr>
      <w:r>
        <w:rPr>
          <w:caps w:val="false"/>
          <w:smallCaps w:val="false"/>
        </w:rPr>
        <w:t>  </w:t>
      </w:r>
      <w:bookmarkStart w:id="502" w:name="xdx_8BB_zqajf0V07Iyj"/>
      <w:bookmarkEnd w:id="502"/>
      <w:r>
        <w:rPr>
          <w:rFonts w:ascii="Times New Roman;Times;Serif" w:hAnsi="Times New Roman;Times;Serif"/>
          <w:b w:val="false"/>
          <w:i w:val="false"/>
          <w:caps w:val="false"/>
          <w:smallCaps w:val="false"/>
          <w:sz w:val="20"/>
        </w:rPr>
        <w:t>SCHEDULE OF LEASE LIABILITY</w:t>
      </w:r>
    </w:p>
    <w:tbl>
      <w:tblPr>
        <w:tblW w:w="4624" w:type="dxa"/>
        <w:jc w:val="left"/>
        <w:tblInd w:w="0" w:type="dxa"/>
        <w:tblLayout w:type="fixed"/>
        <w:tblCellMar>
          <w:top w:w="0" w:type="dxa"/>
          <w:left w:w="0" w:type="dxa"/>
          <w:bottom w:w="0" w:type="dxa"/>
          <w:right w:w="0" w:type="dxa"/>
        </w:tblCellMar>
      </w:tblPr>
      <w:tblGrid>
        <w:gridCol w:w="1955"/>
        <w:gridCol w:w="60"/>
        <w:gridCol w:w="742"/>
        <w:gridCol w:w="477"/>
        <w:gridCol w:w="60"/>
        <w:gridCol w:w="60"/>
        <w:gridCol w:w="282"/>
        <w:gridCol w:w="893"/>
        <w:gridCol w:w="95"/>
      </w:tblGrid>
      <w:tr>
        <w:trPr/>
        <w:tc>
          <w:tcPr>
            <w:tcW w:w="195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bookmarkStart w:id="503" w:name="xdx_493_20250930_zFKotSIXNcRc"/>
            <w:bookmarkEnd w:id="503"/>
          </w:p>
        </w:tc>
        <w:tc>
          <w:tcPr>
            <w:tcW w:w="1219"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September 30,</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bookmarkStart w:id="504" w:name="xdx_497_20241231_z3FSiK9MSVBe"/>
            <w:bookmarkEnd w:id="504"/>
          </w:p>
        </w:tc>
        <w:tc>
          <w:tcPr>
            <w:tcW w:w="117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95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19"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7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2024</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95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1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(000’s)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7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(000’s)</w:t>
            </w:r>
          </w:p>
        </w:tc>
        <w:tc>
          <w:tcPr>
            <w:tcW w:w="95" w:type="dxa"/>
            <w:tcBorders/>
            <w:vAlign w:val="center"/>
          </w:tcPr>
          <w:p>
            <w:pPr>
              <w:pStyle w:val="TableContents"/>
              <w:bidi w:val="0"/>
              <w:spacing w:before="0" w:after="283"/>
              <w:jc w:val="left"/>
              <w:rPr>
                <w:caps w:val="false"/>
                <w:smallCaps w:val="false"/>
              </w:rPr>
            </w:pPr>
            <w:r>
              <w:rPr>
                <w:caps w:val="false"/>
                <w:smallCaps w:val="false"/>
              </w:rPr>
              <w:t> </w:t>
            </w:r>
            <w:bookmarkStart w:id="505" w:name="xdx_400_eus-gaap--OperatingLeaseLiabilit"/>
            <w:bookmarkEnd w:id="505"/>
          </w:p>
        </w:tc>
      </w:tr>
      <w:tr>
        <w:trPr/>
        <w:tc>
          <w:tcPr>
            <w:tcW w:w="19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lease liability</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47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8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9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506" w:name="xdx_403_eus-gaap--OperatingLeaseLiabilit"/>
            <w:bookmarkEnd w:id="506"/>
          </w:p>
        </w:tc>
      </w:tr>
      <w:tr>
        <w:trPr/>
        <w:tc>
          <w:tcPr>
            <w:tcW w:w="19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Less: short term portion</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2"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477"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82"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93"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507" w:name="xdx_401_eus-gaap--OperatingLeaseLiabilit"/>
            <w:bookmarkEnd w:id="507"/>
          </w:p>
        </w:tc>
      </w:tr>
      <w:tr>
        <w:trPr/>
        <w:tc>
          <w:tcPr>
            <w:tcW w:w="19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Long term portion</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2"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477"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82"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93"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both"/>
        <w:rPr>
          <w:caps w:val="false"/>
          <w:smallCaps w:val="false"/>
        </w:rPr>
      </w:pPr>
      <w:bookmarkStart w:id="508" w:name="xdx_8A4_zUpdERTTTWvh"/>
      <w:bookmarkEnd w:id="508"/>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509" w:name="xdx_807_eus-gaap--LessorSalesTypeLeasesT"/>
      <w:bookmarkEnd w:id="509"/>
      <w:r>
        <w:rPr>
          <w:rFonts w:ascii="Times New Roman;Times;Serif" w:hAnsi="Times New Roman;Times;Serif"/>
          <w:b/>
          <w:i w:val="false"/>
          <w:caps w:val="false"/>
          <w:smallCaps w:val="false"/>
          <w:sz w:val="20"/>
        </w:rPr>
        <w:t>NOTE 7</w:t>
      </w:r>
      <w:r>
        <w:rPr>
          <w:rFonts w:ascii="Times New Roman;Times;Serif" w:hAnsi="Times New Roman;Times;Serif"/>
          <w:b w:val="false"/>
          <w:i w:val="false"/>
          <w:caps w:val="false"/>
          <w:smallCaps w:val="false"/>
          <w:sz w:val="20"/>
        </w:rPr>
        <w:t xml:space="preserve"> – </w:t>
      </w:r>
      <w:bookmarkStart w:id="510" w:name="xdx_82D_zwdEXfYHNnR8"/>
      <w:bookmarkEnd w:id="510"/>
      <w:r>
        <w:rPr>
          <w:rFonts w:ascii="Times New Roman;Times;Serif" w:hAnsi="Times New Roman;Times;Serif"/>
          <w:b/>
          <w:i w:val="false"/>
          <w:caps w:val="false"/>
          <w:smallCaps w:val="false"/>
          <w:sz w:val="20"/>
        </w:rPr>
        <w:t>LEASE RECEIVABLES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2022, the Company entered into two leases for our PURE EP™ Platform at a rate of $</w:t>
      </w:r>
      <w:bookmarkStart w:id="511" w:name="xdx_90E_eus-gaap--PaymentsForRent_c20220"/>
      <w:bookmarkEnd w:id="511"/>
      <w:r>
        <w:rPr>
          <w:rFonts w:ascii="Times New Roman;Times;Serif" w:hAnsi="Times New Roman;Times;Serif"/>
          <w:b w:val="false"/>
          <w:i w:val="false"/>
          <w:caps w:val="false"/>
          <w:smallCaps w:val="false"/>
          <w:sz w:val="20"/>
        </w:rPr>
        <w:t xml:space="preserve">4,333 per month each. The term of the leases is for </w:t>
      </w:r>
      <w:bookmarkStart w:id="512" w:name="xdx_900_eus-gaap--LesseeOperatingLeaseTe"/>
      <w:bookmarkEnd w:id="512"/>
      <w:r>
        <w:rPr>
          <w:rFonts w:ascii="Times New Roman;Times;Serif" w:hAnsi="Times New Roman;Times;Serif"/>
          <w:b w:val="false"/>
          <w:i w:val="false"/>
          <w:caps w:val="false"/>
          <w:smallCaps w:val="false"/>
          <w:sz w:val="20"/>
        </w:rPr>
        <w:t xml:space="preserve">30 months with an option provided to extend for an additional </w:t>
      </w:r>
      <w:bookmarkStart w:id="513" w:name="xdx_90A_eus-gaap--LesseeOperatingLeaseRe"/>
      <w:bookmarkEnd w:id="513"/>
      <w:r>
        <w:rPr>
          <w:rFonts w:ascii="Times New Roman;Times;Serif" w:hAnsi="Times New Roman;Times;Serif"/>
          <w:b w:val="false"/>
          <w:i w:val="false"/>
          <w:caps w:val="false"/>
          <w:smallCaps w:val="false"/>
          <w:sz w:val="20"/>
        </w:rPr>
        <w:t>one year. The leases also have an option to purchase at the end of the lease at the fair market value.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determined the leases meet the criteria of a sales-type lease whereby the present value of the future expected revenue (less the present value of the estimated unguaranteed residual value), cost of sales and profit and loss are recognized at the lease inception. The discount rate utilized was the contract explicit rate of </w:t>
      </w:r>
      <w:bookmarkStart w:id="514" w:name="xdx_901_ecustom--LessorSalesTypeLeaseDis"/>
      <w:bookmarkEnd w:id="514"/>
      <w:r>
        <w:rPr>
          <w:rFonts w:ascii="Times New Roman;Times;Serif" w:hAnsi="Times New Roman;Times;Serif"/>
          <w:b w:val="false"/>
          <w:i w:val="false"/>
          <w:caps w:val="false"/>
          <w:smallCaps w:val="false"/>
          <w:sz w:val="20"/>
        </w:rPr>
        <w:t>2% per annum.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Both leases reached the end of their contractual terms during 2025, and no extension or purchase options were exercised. As of September 30, 2025, the Company has no remaining lease receivables related to these agreements.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515" w:name="xdx_897_eus-gaap--SalesTypeLeaseLeaseInc"/>
      <w:bookmarkEnd w:id="515"/>
      <w:r>
        <w:rPr>
          <w:rFonts w:ascii="Times New Roman;Times;Serif" w:hAnsi="Times New Roman;Times;Serif"/>
          <w:b w:val="false"/>
          <w:i w:val="false"/>
          <w:caps w:val="false"/>
          <w:smallCaps w:val="false"/>
          <w:sz w:val="20"/>
        </w:rPr>
        <w:t>A reconciliation of lease receivables with customers for the nine months ended September 30, 2025 and 2024 are presented below:</w:t>
      </w:r>
    </w:p>
    <w:p>
      <w:pPr>
        <w:pStyle w:val="TextBody"/>
        <w:bidi w:val="0"/>
        <w:spacing w:before="0" w:after="0"/>
        <w:ind w:left="0" w:right="0" w:hanging="0"/>
        <w:jc w:val="both"/>
        <w:rPr>
          <w:caps w:val="false"/>
          <w:smallCaps w:val="false"/>
        </w:rPr>
      </w:pPr>
      <w:r>
        <w:rPr>
          <w:caps w:val="false"/>
          <w:smallCaps w:val="false"/>
        </w:rPr>
        <w:t> </w:t>
      </w:r>
      <w:bookmarkStart w:id="516" w:name="xdx_8B8_z11NHOx0frW1"/>
      <w:bookmarkEnd w:id="516"/>
      <w:r>
        <w:rPr>
          <w:rFonts w:ascii="Times New Roman;Times;Serif" w:hAnsi="Times New Roman;Times;Serif"/>
          <w:b w:val="false"/>
          <w:i w:val="false"/>
          <w:caps w:val="false"/>
          <w:smallCaps w:val="false"/>
          <w:sz w:val="20"/>
        </w:rPr>
        <w:t>SCHEDULE OF RECONCILIATION OF LEASE RECEIVABLES WITH CUSTOMERS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Nine months ended September 30, 2025:</w:t>
      </w:r>
    </w:p>
    <w:p>
      <w:pPr>
        <w:pStyle w:val="TextBody"/>
        <w:bidi w:val="0"/>
        <w:spacing w:before="0" w:after="0"/>
        <w:ind w:left="400" w:right="0" w:firstLine="800"/>
        <w:jc w:val="both"/>
        <w:rPr>
          <w:caps w:val="false"/>
          <w:smallCaps w:val="false"/>
        </w:rPr>
      </w:pPr>
      <w:r>
        <w:rPr>
          <w:caps w:val="false"/>
          <w:smallCaps w:val="false"/>
        </w:rPr>
        <w:t> </w:t>
      </w:r>
    </w:p>
    <w:tbl>
      <w:tblPr>
        <w:tblW w:w="9912" w:type="dxa"/>
        <w:jc w:val="left"/>
        <w:tblInd w:w="0" w:type="dxa"/>
        <w:tblLayout w:type="fixed"/>
        <w:tblCellMar>
          <w:top w:w="0" w:type="dxa"/>
          <w:left w:w="0" w:type="dxa"/>
          <w:bottom w:w="0" w:type="dxa"/>
          <w:right w:w="0" w:type="dxa"/>
        </w:tblCellMar>
      </w:tblPr>
      <w:tblGrid>
        <w:gridCol w:w="1925"/>
        <w:gridCol w:w="60"/>
        <w:gridCol w:w="318"/>
        <w:gridCol w:w="766"/>
        <w:gridCol w:w="95"/>
        <w:gridCol w:w="60"/>
        <w:gridCol w:w="233"/>
        <w:gridCol w:w="957"/>
        <w:gridCol w:w="60"/>
        <w:gridCol w:w="60"/>
        <w:gridCol w:w="223"/>
        <w:gridCol w:w="921"/>
        <w:gridCol w:w="60"/>
        <w:gridCol w:w="60"/>
        <w:gridCol w:w="235"/>
        <w:gridCol w:w="565"/>
        <w:gridCol w:w="95"/>
        <w:gridCol w:w="60"/>
        <w:gridCol w:w="291"/>
        <w:gridCol w:w="1199"/>
        <w:gridCol w:w="60"/>
        <w:gridCol w:w="60"/>
        <w:gridCol w:w="287"/>
        <w:gridCol w:w="1187"/>
        <w:gridCol w:w="75"/>
      </w:tblGrid>
      <w:tr>
        <w:trPr/>
        <w:tc>
          <w:tcPr>
            <w:tcW w:w="192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084"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44"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90" w:type="dxa"/>
            <w:gridSpan w:val="2"/>
            <w:tcBorders/>
            <w:vAlign w:val="center"/>
          </w:tcPr>
          <w:p>
            <w:pPr>
              <w:pStyle w:val="TableContents"/>
              <w:bidi w:val="0"/>
              <w:spacing w:before="0" w:after="283"/>
              <w:jc w:val="center"/>
              <w:rPr>
                <w:b/>
              </w:rPr>
            </w:pPr>
            <w:r>
              <w:rPr>
                <w:b/>
              </w:rPr>
              <w:t>Unguaranteed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74" w:type="dxa"/>
            <w:gridSpan w:val="2"/>
            <w:tcBorders/>
            <w:vAlign w:val="center"/>
          </w:tcPr>
          <w:p>
            <w:pPr>
              <w:pStyle w:val="TableContents"/>
              <w:bidi w:val="0"/>
              <w:spacing w:before="0" w:after="283"/>
              <w:jc w:val="center"/>
              <w:rPr>
                <w:b/>
              </w:rPr>
            </w:pPr>
            <w:r>
              <w:rPr>
                <w:b/>
              </w:rPr>
              <w:t>Balance at</w:t>
            </w:r>
          </w:p>
        </w:tc>
        <w:tc>
          <w:tcPr>
            <w:tcW w:w="75" w:type="dxa"/>
            <w:tcBorders/>
            <w:vAlign w:val="center"/>
          </w:tcPr>
          <w:p>
            <w:pPr>
              <w:pStyle w:val="TableContents"/>
              <w:bidi w:val="0"/>
              <w:spacing w:before="0" w:after="283"/>
              <w:jc w:val="left"/>
              <w:rPr/>
            </w:pPr>
            <w:r>
              <w:rPr/>
              <w:t> </w:t>
            </w:r>
          </w:p>
        </w:tc>
      </w:tr>
      <w:tr>
        <w:trPr/>
        <w:tc>
          <w:tcPr>
            <w:tcW w:w="192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084" w:type="dxa"/>
            <w:gridSpan w:val="2"/>
            <w:tcBorders/>
            <w:vAlign w:val="center"/>
          </w:tcPr>
          <w:p>
            <w:pPr>
              <w:pStyle w:val="TableContents"/>
              <w:bidi w:val="0"/>
              <w:spacing w:before="0" w:after="283"/>
              <w:jc w:val="center"/>
              <w:rPr>
                <w:b/>
              </w:rPr>
            </w:pPr>
            <w:r>
              <w:rPr>
                <w:b/>
              </w:rPr>
              <w:t>Balance at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0" w:type="dxa"/>
            <w:gridSpan w:val="2"/>
            <w:tcBorders/>
            <w:vAlign w:val="center"/>
          </w:tcPr>
          <w:p>
            <w:pPr>
              <w:pStyle w:val="TableContents"/>
              <w:bidi w:val="0"/>
              <w:spacing w:before="0" w:after="283"/>
              <w:jc w:val="center"/>
              <w:rPr>
                <w:b/>
              </w:rPr>
            </w:pPr>
            <w:r>
              <w:rPr>
                <w:b/>
              </w:rPr>
              <w:t>Recognized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44" w:type="dxa"/>
            <w:gridSpan w:val="2"/>
            <w:tcBorders/>
            <w:vAlign w:val="center"/>
          </w:tcPr>
          <w:p>
            <w:pPr>
              <w:pStyle w:val="TableContents"/>
              <w:bidi w:val="0"/>
              <w:spacing w:before="0" w:after="283"/>
              <w:jc w:val="center"/>
              <w:rPr>
                <w:b/>
              </w:rPr>
            </w:pPr>
            <w:r>
              <w:rPr>
                <w:b/>
              </w:rPr>
              <w:t>Invoiced to</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gridSpan w:val="2"/>
            <w:tcBorders/>
            <w:vAlign w:val="center"/>
          </w:tcPr>
          <w:p>
            <w:pPr>
              <w:pStyle w:val="TableContents"/>
              <w:bidi w:val="0"/>
              <w:spacing w:before="0" w:after="283"/>
              <w:jc w:val="center"/>
              <w:rPr>
                <w:b/>
              </w:rPr>
            </w:pPr>
            <w:r>
              <w:rPr>
                <w:b/>
              </w:rPr>
              <w:t>Interest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90" w:type="dxa"/>
            <w:gridSpan w:val="2"/>
            <w:tcBorders/>
            <w:vAlign w:val="center"/>
          </w:tcPr>
          <w:p>
            <w:pPr>
              <w:pStyle w:val="TableContents"/>
              <w:bidi w:val="0"/>
              <w:spacing w:before="0" w:after="283"/>
              <w:jc w:val="center"/>
              <w:rPr>
                <w:b/>
              </w:rPr>
            </w:pPr>
            <w:r>
              <w:rPr>
                <w:b/>
              </w:rPr>
              <w:t>Residual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74" w:type="dxa"/>
            <w:gridSpan w:val="2"/>
            <w:tcBorders/>
            <w:vAlign w:val="center"/>
          </w:tcPr>
          <w:p>
            <w:pPr>
              <w:pStyle w:val="TableContents"/>
              <w:bidi w:val="0"/>
              <w:spacing w:before="0" w:after="283"/>
              <w:jc w:val="center"/>
              <w:rPr>
                <w:b/>
              </w:rPr>
            </w:pPr>
            <w:r>
              <w:rPr>
                <w:b/>
              </w:rPr>
              <w:t>September 30,</w:t>
            </w:r>
          </w:p>
        </w:tc>
        <w:tc>
          <w:tcPr>
            <w:tcW w:w="75" w:type="dxa"/>
            <w:tcBorders/>
            <w:vAlign w:val="center"/>
          </w:tcPr>
          <w:p>
            <w:pPr>
              <w:pStyle w:val="TableContents"/>
              <w:bidi w:val="0"/>
              <w:spacing w:before="0" w:after="283"/>
              <w:jc w:val="left"/>
              <w:rPr/>
            </w:pPr>
            <w:r>
              <w:rPr/>
              <w:t> </w:t>
            </w:r>
          </w:p>
        </w:tc>
      </w:tr>
      <w:tr>
        <w:trPr/>
        <w:tc>
          <w:tcPr>
            <w:tcW w:w="192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084" w:type="dxa"/>
            <w:gridSpan w:val="2"/>
            <w:tcBorders/>
            <w:vAlign w:val="center"/>
          </w:tcPr>
          <w:p>
            <w:pPr>
              <w:pStyle w:val="TableContents"/>
              <w:bidi w:val="0"/>
              <w:spacing w:before="0" w:after="283"/>
              <w:jc w:val="center"/>
              <w:rPr>
                <w:b/>
              </w:rPr>
            </w:pPr>
            <w:r>
              <w:rPr>
                <w:b/>
              </w:rPr>
              <w:t>31-Dec-24</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0" w:type="dxa"/>
            <w:gridSpan w:val="2"/>
            <w:tcBorders/>
            <w:vAlign w:val="center"/>
          </w:tcPr>
          <w:p>
            <w:pPr>
              <w:pStyle w:val="TableContents"/>
              <w:bidi w:val="0"/>
              <w:spacing w:before="0" w:after="283"/>
              <w:jc w:val="center"/>
              <w:rPr>
                <w:b/>
              </w:rPr>
            </w:pPr>
            <w:r>
              <w:rPr>
                <w:b/>
              </w:rPr>
              <w:t>in Revenue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44" w:type="dxa"/>
            <w:gridSpan w:val="2"/>
            <w:tcBorders/>
            <w:vAlign w:val="center"/>
          </w:tcPr>
          <w:p>
            <w:pPr>
              <w:pStyle w:val="TableContents"/>
              <w:bidi w:val="0"/>
              <w:spacing w:before="0" w:after="283"/>
              <w:jc w:val="center"/>
              <w:rPr>
                <w:b/>
              </w:rPr>
            </w:pPr>
            <w:r>
              <w:rPr>
                <w:b/>
              </w:rPr>
              <w:t>Customer</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gridSpan w:val="2"/>
            <w:tcBorders/>
            <w:vAlign w:val="center"/>
          </w:tcPr>
          <w:p>
            <w:pPr>
              <w:pStyle w:val="TableContents"/>
              <w:bidi w:val="0"/>
              <w:spacing w:before="0" w:after="283"/>
              <w:jc w:val="center"/>
              <w:rPr>
                <w:b/>
              </w:rPr>
            </w:pPr>
            <w:r>
              <w:rPr>
                <w:b/>
              </w:rPr>
              <w:t>Earned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90" w:type="dxa"/>
            <w:gridSpan w:val="2"/>
            <w:tcBorders/>
            <w:vAlign w:val="center"/>
          </w:tcPr>
          <w:p>
            <w:pPr>
              <w:pStyle w:val="TableContents"/>
              <w:bidi w:val="0"/>
              <w:spacing w:before="0" w:after="283"/>
              <w:jc w:val="center"/>
              <w:rPr>
                <w:b/>
              </w:rPr>
            </w:pPr>
            <w:r>
              <w:rPr>
                <w:b/>
              </w:rPr>
              <w:t>Assets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74" w:type="dxa"/>
            <w:gridSpan w:val="2"/>
            <w:tcBorders/>
            <w:vAlign w:val="center"/>
          </w:tcPr>
          <w:p>
            <w:pPr>
              <w:pStyle w:val="TableContents"/>
              <w:bidi w:val="0"/>
              <w:spacing w:before="0" w:after="283"/>
              <w:jc w:val="center"/>
              <w:rPr>
                <w:b/>
              </w:rPr>
            </w:pPr>
            <w:r>
              <w:rPr>
                <w:b/>
              </w:rPr>
              <w:t>2025</w:t>
            </w:r>
          </w:p>
        </w:tc>
        <w:tc>
          <w:tcPr>
            <w:tcW w:w="75" w:type="dxa"/>
            <w:tcBorders/>
            <w:vAlign w:val="center"/>
          </w:tcPr>
          <w:p>
            <w:pPr>
              <w:pStyle w:val="TableContents"/>
              <w:bidi w:val="0"/>
              <w:spacing w:before="0" w:after="283"/>
              <w:jc w:val="left"/>
              <w:rPr/>
            </w:pPr>
            <w:r>
              <w:rPr/>
              <w:t> </w:t>
            </w:r>
          </w:p>
        </w:tc>
      </w:tr>
      <w:tr>
        <w:trPr/>
        <w:tc>
          <w:tcPr>
            <w:tcW w:w="192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08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(000’s)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(000’s)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4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(000’s)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(000’s)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9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(000’s)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7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(000’s)</w:t>
            </w:r>
          </w:p>
        </w:tc>
        <w:tc>
          <w:tcPr>
            <w:tcW w:w="75" w:type="dxa"/>
            <w:tcBorders/>
            <w:vAlign w:val="center"/>
          </w:tcPr>
          <w:p>
            <w:pPr>
              <w:pStyle w:val="TableContents"/>
              <w:bidi w:val="0"/>
              <w:spacing w:before="0" w:after="283"/>
              <w:jc w:val="left"/>
              <w:rPr/>
            </w:pPr>
            <w:r>
              <w:rPr/>
              <w:t> </w:t>
            </w:r>
          </w:p>
        </w:tc>
      </w:tr>
      <w:tr>
        <w:trPr/>
        <w:tc>
          <w:tcPr>
            <w:tcW w:w="1925" w:type="dxa"/>
            <w:tcBorders/>
            <w:shd w:fill="CCEEFF" w:val="clear"/>
            <w:vAlign w:val="center"/>
          </w:tcPr>
          <w:p>
            <w:pPr>
              <w:pStyle w:val="TableContents"/>
              <w:bidi w:val="0"/>
              <w:spacing w:before="0" w:after="283"/>
              <w:jc w:val="left"/>
              <w:rPr/>
            </w:pPr>
            <w:r>
              <w:rPr/>
              <w:t>Contract asset</w:t>
            </w:r>
          </w:p>
        </w:tc>
        <w:tc>
          <w:tcPr>
            <w:tcW w:w="60" w:type="dxa"/>
            <w:tcBorders/>
            <w:shd w:fill="CCEEFF" w:val="clear"/>
            <w:vAlign w:val="center"/>
          </w:tcPr>
          <w:p>
            <w:pPr>
              <w:pStyle w:val="TableContents"/>
              <w:bidi w:val="0"/>
              <w:spacing w:before="0" w:after="283"/>
              <w:jc w:val="left"/>
              <w:rPr/>
            </w:pPr>
            <w:r>
              <w:rPr/>
              <w:t> </w:t>
            </w:r>
          </w:p>
        </w:tc>
        <w:tc>
          <w:tcPr>
            <w:tcW w:w="318" w:type="dxa"/>
            <w:tcBorders/>
            <w:shd w:fill="CCEEFF" w:val="clear"/>
            <w:vAlign w:val="center"/>
          </w:tcPr>
          <w:p>
            <w:pPr>
              <w:pStyle w:val="TableContents"/>
              <w:bidi w:val="0"/>
              <w:spacing w:before="0" w:after="283"/>
              <w:jc w:val="left"/>
              <w:rPr/>
            </w:pPr>
            <w:r>
              <w:rPr/>
              <w:t>$</w:t>
            </w:r>
            <w:bookmarkStart w:id="517" w:name="xdx_987_eus-gaap--SalesTypeLeaseNetInves"/>
            <w:bookmarkEnd w:id="517"/>
          </w:p>
        </w:tc>
        <w:tc>
          <w:tcPr>
            <w:tcW w:w="766" w:type="dxa"/>
            <w:tcBorders/>
            <w:shd w:fill="CCEEFF" w:val="clear"/>
            <w:vAlign w:val="center"/>
          </w:tcPr>
          <w:p>
            <w:pPr>
              <w:pStyle w:val="TableContents"/>
              <w:bidi w:val="0"/>
              <w:spacing w:before="0" w:after="283"/>
              <w:jc w:val="right"/>
              <w:rPr/>
            </w:pPr>
            <w:r>
              <w:rPr/>
              <w:t>17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3" w:type="dxa"/>
            <w:tcBorders/>
            <w:shd w:fill="CCEEFF" w:val="clear"/>
            <w:vAlign w:val="center"/>
          </w:tcPr>
          <w:p>
            <w:pPr>
              <w:pStyle w:val="TableContents"/>
              <w:bidi w:val="0"/>
              <w:spacing w:before="0" w:after="283"/>
              <w:jc w:val="left"/>
              <w:rPr/>
            </w:pPr>
            <w:r>
              <w:rPr/>
              <w:t>$</w:t>
            </w:r>
            <w:bookmarkStart w:id="518" w:name="xdx_98A_eus-gaap--SalesTypeLeaseRevenue_"/>
            <w:bookmarkEnd w:id="518"/>
          </w:p>
        </w:tc>
        <w:tc>
          <w:tcPr>
            <w:tcW w:w="957" w:type="dxa"/>
            <w:tcBorders/>
            <w:shd w:fill="CCEEFF" w:val="clear"/>
            <w:vAlign w:val="center"/>
          </w:tcPr>
          <w:p>
            <w:pPr>
              <w:pStyle w:val="TableContents"/>
              <w:bidi w:val="0"/>
              <w:spacing w:before="0" w:after="283"/>
              <w:jc w:val="right"/>
              <w:rPr/>
            </w:pPr>
            <w:r>
              <w:rPr/>
              <w:t>        </w:t>
            </w: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3" w:type="dxa"/>
            <w:tcBorders/>
            <w:shd w:fill="CCEEFF" w:val="clear"/>
            <w:vAlign w:val="center"/>
          </w:tcPr>
          <w:p>
            <w:pPr>
              <w:pStyle w:val="TableContents"/>
              <w:bidi w:val="0"/>
              <w:spacing w:before="0" w:after="283"/>
              <w:jc w:val="left"/>
              <w:rPr/>
            </w:pPr>
            <w:r>
              <w:rPr/>
              <w:t>$</w:t>
            </w:r>
            <w:bookmarkStart w:id="519" w:name="xdx_982_ecustom--SalesTypeLeaseInvoicedT"/>
            <w:bookmarkEnd w:id="519"/>
          </w:p>
        </w:tc>
        <w:tc>
          <w:tcPr>
            <w:tcW w:w="921" w:type="dxa"/>
            <w:tcBorders/>
            <w:shd w:fill="CCEEFF" w:val="clear"/>
            <w:vAlign w:val="center"/>
          </w:tcPr>
          <w:p>
            <w:pPr>
              <w:pStyle w:val="TableContents"/>
              <w:bidi w:val="0"/>
              <w:spacing w:before="0" w:after="283"/>
              <w:jc w:val="right"/>
              <w:rPr/>
            </w:pPr>
            <w:r>
              <w:rPr/>
              <w:t>        </w:t>
            </w: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5" w:type="dxa"/>
            <w:tcBorders/>
            <w:shd w:fill="CCEEFF" w:val="clear"/>
            <w:vAlign w:val="center"/>
          </w:tcPr>
          <w:p>
            <w:pPr>
              <w:pStyle w:val="TableContents"/>
              <w:bidi w:val="0"/>
              <w:spacing w:before="0" w:after="283"/>
              <w:jc w:val="left"/>
              <w:rPr/>
            </w:pPr>
            <w:r>
              <w:rPr/>
              <w:t>$</w:t>
            </w:r>
            <w:bookmarkStart w:id="520" w:name="xdx_98F_ecustom--SalesTypeLeaseInterestI"/>
            <w:bookmarkEnd w:id="520"/>
          </w:p>
        </w:tc>
        <w:tc>
          <w:tcPr>
            <w:tcW w:w="565" w:type="dxa"/>
            <w:tcBorders/>
            <w:shd w:fill="CCEEFF" w:val="clear"/>
            <w:vAlign w:val="center"/>
          </w:tcPr>
          <w:p>
            <w:pPr>
              <w:pStyle w:val="TableContents"/>
              <w:bidi w:val="0"/>
              <w:spacing w:before="0" w:after="283"/>
              <w:jc w:val="right"/>
              <w:rPr/>
            </w:pPr>
            <w:r>
              <w:rPr/>
              <w:t>(17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91" w:type="dxa"/>
            <w:tcBorders/>
            <w:shd w:fill="CCEEFF" w:val="clear"/>
            <w:vAlign w:val="center"/>
          </w:tcPr>
          <w:p>
            <w:pPr>
              <w:pStyle w:val="TableContents"/>
              <w:bidi w:val="0"/>
              <w:spacing w:before="0" w:after="283"/>
              <w:jc w:val="left"/>
              <w:rPr/>
            </w:pPr>
            <w:r>
              <w:rPr/>
              <w:t>$</w:t>
            </w:r>
            <w:bookmarkStart w:id="521" w:name="xdx_988_eus-gaap--SalesTypeLeaseUnguaran"/>
            <w:bookmarkEnd w:id="521"/>
          </w:p>
        </w:tc>
        <w:tc>
          <w:tcPr>
            <w:tcW w:w="1199" w:type="dxa"/>
            <w:tcBorders/>
            <w:shd w:fill="CCEEFF" w:val="clear"/>
            <w:vAlign w:val="center"/>
          </w:tcPr>
          <w:p>
            <w:pPr>
              <w:pStyle w:val="TableContents"/>
              <w:bidi w:val="0"/>
              <w:spacing w:before="0" w:after="283"/>
              <w:jc w:val="right"/>
              <w:rPr/>
            </w:pPr>
            <w:r>
              <w:rPr/>
              <w:t>        </w:t>
            </w: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7" w:type="dxa"/>
            <w:tcBorders/>
            <w:shd w:fill="CCEEFF" w:val="clear"/>
            <w:vAlign w:val="center"/>
          </w:tcPr>
          <w:p>
            <w:pPr>
              <w:pStyle w:val="TableContents"/>
              <w:bidi w:val="0"/>
              <w:spacing w:before="0" w:after="283"/>
              <w:jc w:val="left"/>
              <w:rPr/>
            </w:pPr>
            <w:r>
              <w:rPr/>
              <w:t>$</w:t>
            </w:r>
            <w:bookmarkStart w:id="522" w:name="xdx_980_eus-gaap--SalesTypeLeaseNetInves"/>
            <w:bookmarkEnd w:id="522"/>
          </w:p>
        </w:tc>
        <w:tc>
          <w:tcPr>
            <w:tcW w:w="1187" w:type="dxa"/>
            <w:tcBorders/>
            <w:shd w:fill="CCEEFF" w:val="clear"/>
            <w:vAlign w:val="center"/>
          </w:tcPr>
          <w:p>
            <w:pPr>
              <w:pStyle w:val="TableContents"/>
              <w:bidi w:val="0"/>
              <w:spacing w:before="0" w:after="283"/>
              <w:jc w:val="right"/>
              <w:rPr/>
            </w:pPr>
            <w:r>
              <w:rPr/>
              <w:t>        </w:t>
            </w:r>
            <w:r>
              <w:rPr/>
              <w:t>-</w:t>
            </w:r>
          </w:p>
        </w:tc>
        <w:tc>
          <w:tcPr>
            <w:tcW w:w="75" w:type="dxa"/>
            <w:tcBorders/>
            <w:shd w:fill="CCEEFF" w:val="clear"/>
            <w:vAlign w:val="center"/>
          </w:tcPr>
          <w:p>
            <w:pPr>
              <w:pStyle w:val="TableContents"/>
              <w:bidi w:val="0"/>
              <w:spacing w:before="0" w:after="283"/>
              <w:jc w:val="left"/>
              <w:rPr/>
            </w:pPr>
            <w:r>
              <w:rPr/>
              <w:t> </w:t>
            </w:r>
          </w:p>
        </w:tc>
      </w:tr>
      <w:tr>
        <w:trPr/>
        <w:tc>
          <w:tcPr>
            <w:tcW w:w="1925" w:type="dxa"/>
            <w:tcBorders/>
            <w:shd w:fill="FFFFFF" w:val="clear"/>
            <w:vAlign w:val="center"/>
          </w:tcPr>
          <w:p>
            <w:pPr>
              <w:pStyle w:val="TableContents"/>
              <w:bidi w:val="0"/>
              <w:spacing w:before="0" w:after="283"/>
              <w:jc w:val="left"/>
              <w:rPr/>
            </w:pPr>
            <w:r>
              <w:rPr/>
              <w:t>Less current portion</w:t>
            </w:r>
          </w:p>
        </w:tc>
        <w:tc>
          <w:tcPr>
            <w:tcW w:w="60" w:type="dxa"/>
            <w:tcBorders/>
            <w:shd w:fill="FFFFFF" w:val="clear"/>
            <w:vAlign w:val="center"/>
          </w:tcPr>
          <w:p>
            <w:pPr>
              <w:pStyle w:val="TableContents"/>
              <w:bidi w:val="0"/>
              <w:spacing w:before="0" w:after="283"/>
              <w:jc w:val="left"/>
              <w:rPr/>
            </w:pPr>
            <w:r>
              <w:rPr/>
              <w:t> </w:t>
            </w:r>
          </w:p>
        </w:tc>
        <w:tc>
          <w:tcPr>
            <w:tcW w:w="31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523" w:name="xdx_986_eus-gaap--SalesTypeLeaseNetInves"/>
            <w:bookmarkEnd w:id="523"/>
          </w:p>
        </w:tc>
        <w:tc>
          <w:tcPr>
            <w:tcW w:w="766" w:type="dxa"/>
            <w:tcBorders>
              <w:bottom w:val="single" w:sz="8" w:space="0" w:color="000000"/>
            </w:tcBorders>
            <w:shd w:fill="FFFFFF" w:val="clear"/>
            <w:tcMar>
              <w:bottom w:w="28" w:type="dxa"/>
            </w:tcMar>
            <w:vAlign w:val="center"/>
          </w:tcPr>
          <w:p>
            <w:pPr>
              <w:pStyle w:val="TableContents"/>
              <w:bidi w:val="0"/>
              <w:spacing w:before="0" w:after="283"/>
              <w:jc w:val="right"/>
              <w:rPr/>
            </w:pPr>
            <w:r>
              <w:rPr/>
              <w:t>(13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3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524" w:name="xdx_980_eus-gaap--SalesTypeLeaseRevenue_"/>
            <w:bookmarkEnd w:id="524"/>
          </w:p>
        </w:tc>
        <w:tc>
          <w:tcPr>
            <w:tcW w:w="957"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525" w:name="xdx_986_ecustom--SalesTypeLeaseInvoicedT"/>
            <w:bookmarkEnd w:id="525"/>
          </w:p>
        </w:tc>
        <w:tc>
          <w:tcPr>
            <w:tcW w:w="921"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526" w:name="xdx_982_ecustom--SalesTypeLeaseInterestI"/>
            <w:bookmarkEnd w:id="526"/>
          </w:p>
        </w:tc>
        <w:tc>
          <w:tcPr>
            <w:tcW w:w="565" w:type="dxa"/>
            <w:tcBorders>
              <w:bottom w:val="single" w:sz="8" w:space="0" w:color="000000"/>
            </w:tcBorders>
            <w:shd w:fill="FFFFFF" w:val="clear"/>
            <w:tcMar>
              <w:bottom w:w="28" w:type="dxa"/>
            </w:tcMar>
            <w:vAlign w:val="center"/>
          </w:tcPr>
          <w:p>
            <w:pPr>
              <w:pStyle w:val="TableContents"/>
              <w:bidi w:val="0"/>
              <w:spacing w:before="0" w:after="283"/>
              <w:jc w:val="right"/>
              <w:rPr/>
            </w:pPr>
            <w:r>
              <w:rPr/>
              <w:t>13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527" w:name="xdx_988_eus-gaap--SalesTypeLeaseUnguaran"/>
            <w:bookmarkEnd w:id="527"/>
          </w:p>
        </w:tc>
        <w:tc>
          <w:tcPr>
            <w:tcW w:w="1199"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528" w:name="xdx_98E_eus-gaap--SalesTypeLeaseNetInves"/>
            <w:bookmarkEnd w:id="528"/>
          </w:p>
        </w:tc>
        <w:tc>
          <w:tcPr>
            <w:tcW w:w="1187"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1925" w:type="dxa"/>
            <w:tcBorders/>
            <w:shd w:fill="CCEEFF" w:val="clear"/>
            <w:vAlign w:val="center"/>
          </w:tcPr>
          <w:p>
            <w:pPr>
              <w:pStyle w:val="TableContents"/>
              <w:bidi w:val="0"/>
              <w:spacing w:before="0" w:after="283"/>
              <w:jc w:val="left"/>
              <w:rPr/>
            </w:pPr>
            <w:r>
              <w:rPr/>
              <w:t>Noncurrent portion</w:t>
            </w:r>
          </w:p>
        </w:tc>
        <w:tc>
          <w:tcPr>
            <w:tcW w:w="60" w:type="dxa"/>
            <w:tcBorders/>
            <w:shd w:fill="CCEEFF" w:val="clear"/>
            <w:vAlign w:val="center"/>
          </w:tcPr>
          <w:p>
            <w:pPr>
              <w:pStyle w:val="TableContents"/>
              <w:bidi w:val="0"/>
              <w:spacing w:before="0" w:after="283"/>
              <w:jc w:val="left"/>
              <w:rPr/>
            </w:pPr>
            <w:r>
              <w:rPr/>
              <w:t> </w:t>
            </w:r>
          </w:p>
        </w:tc>
        <w:tc>
          <w:tcPr>
            <w:tcW w:w="318" w:type="dxa"/>
            <w:tcBorders>
              <w:bottom w:val="double" w:sz="6" w:space="0" w:color="000000"/>
            </w:tcBorders>
            <w:shd w:fill="CCEEFF" w:val="clear"/>
            <w:tcMar>
              <w:bottom w:w="28" w:type="dxa"/>
            </w:tcMar>
            <w:vAlign w:val="center"/>
          </w:tcPr>
          <w:p>
            <w:pPr>
              <w:pStyle w:val="TableContents"/>
              <w:bidi w:val="0"/>
              <w:spacing w:before="0" w:after="283"/>
              <w:jc w:val="left"/>
              <w:rPr/>
            </w:pPr>
            <w:r>
              <w:rPr/>
              <w:t>$</w:t>
            </w:r>
            <w:bookmarkStart w:id="529" w:name="xdx_983_eus-gaap--SalesTypeLeaseNetInves"/>
            <w:bookmarkEnd w:id="529"/>
          </w:p>
        </w:tc>
        <w:tc>
          <w:tcPr>
            <w:tcW w:w="766" w:type="dxa"/>
            <w:tcBorders>
              <w:bottom w:val="double" w:sz="6" w:space="0" w:color="000000"/>
            </w:tcBorders>
            <w:shd w:fill="CCEEFF" w:val="clear"/>
            <w:tcMar>
              <w:bottom w:w="28" w:type="dxa"/>
            </w:tcMar>
            <w:vAlign w:val="center"/>
          </w:tcPr>
          <w:p>
            <w:pPr>
              <w:pStyle w:val="TableContents"/>
              <w:bidi w:val="0"/>
              <w:spacing w:before="0" w:after="283"/>
              <w:jc w:val="right"/>
              <w:rPr/>
            </w:pPr>
            <w:r>
              <w:rPr/>
              <w:t>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3" w:type="dxa"/>
            <w:tcBorders>
              <w:bottom w:val="double" w:sz="6" w:space="0" w:color="000000"/>
            </w:tcBorders>
            <w:shd w:fill="CCEEFF" w:val="clear"/>
            <w:tcMar>
              <w:bottom w:w="28" w:type="dxa"/>
            </w:tcMar>
            <w:vAlign w:val="center"/>
          </w:tcPr>
          <w:p>
            <w:pPr>
              <w:pStyle w:val="TableContents"/>
              <w:bidi w:val="0"/>
              <w:spacing w:before="0" w:after="283"/>
              <w:jc w:val="left"/>
              <w:rPr/>
            </w:pPr>
            <w:r>
              <w:rPr/>
              <w:t>$</w:t>
            </w:r>
            <w:bookmarkStart w:id="530" w:name="xdx_98D_eus-gaap--SalesTypeLeaseRevenue_"/>
            <w:bookmarkEnd w:id="530"/>
          </w:p>
        </w:tc>
        <w:tc>
          <w:tcPr>
            <w:tcW w:w="957"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3" w:type="dxa"/>
            <w:tcBorders>
              <w:bottom w:val="double" w:sz="6" w:space="0" w:color="000000"/>
            </w:tcBorders>
            <w:shd w:fill="CCEEFF" w:val="clear"/>
            <w:tcMar>
              <w:bottom w:w="28" w:type="dxa"/>
            </w:tcMar>
            <w:vAlign w:val="center"/>
          </w:tcPr>
          <w:p>
            <w:pPr>
              <w:pStyle w:val="TableContents"/>
              <w:bidi w:val="0"/>
              <w:spacing w:before="0" w:after="283"/>
              <w:jc w:val="left"/>
              <w:rPr/>
            </w:pPr>
            <w:r>
              <w:rPr/>
              <w:t>$</w:t>
            </w:r>
            <w:bookmarkStart w:id="531" w:name="xdx_986_ecustom--SalesTypeLeaseInvoicedT"/>
            <w:bookmarkEnd w:id="531"/>
          </w:p>
        </w:tc>
        <w:tc>
          <w:tcPr>
            <w:tcW w:w="921"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5" w:type="dxa"/>
            <w:tcBorders>
              <w:bottom w:val="double" w:sz="6" w:space="0" w:color="000000"/>
            </w:tcBorders>
            <w:shd w:fill="CCEEFF" w:val="clear"/>
            <w:tcMar>
              <w:bottom w:w="28" w:type="dxa"/>
            </w:tcMar>
            <w:vAlign w:val="center"/>
          </w:tcPr>
          <w:p>
            <w:pPr>
              <w:pStyle w:val="TableContents"/>
              <w:bidi w:val="0"/>
              <w:spacing w:before="0" w:after="283"/>
              <w:jc w:val="left"/>
              <w:rPr/>
            </w:pPr>
            <w:r>
              <w:rPr/>
              <w:t>$</w:t>
            </w:r>
            <w:bookmarkStart w:id="532" w:name="xdx_98E_ecustom--SalesTypeLeaseInterestI"/>
            <w:bookmarkEnd w:id="532"/>
          </w:p>
        </w:tc>
        <w:tc>
          <w:tcPr>
            <w:tcW w:w="565" w:type="dxa"/>
            <w:tcBorders>
              <w:bottom w:val="double" w:sz="6" w:space="0" w:color="000000"/>
            </w:tcBorders>
            <w:shd w:fill="CCEEFF" w:val="clear"/>
            <w:tcMar>
              <w:bottom w:w="28" w:type="dxa"/>
            </w:tcMar>
            <w:vAlign w:val="center"/>
          </w:tcPr>
          <w:p>
            <w:pPr>
              <w:pStyle w:val="TableContents"/>
              <w:bidi w:val="0"/>
              <w:spacing w:before="0" w:after="283"/>
              <w:jc w:val="right"/>
              <w:rPr/>
            </w:pPr>
            <w:r>
              <w:rPr/>
              <w:t>(4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91" w:type="dxa"/>
            <w:tcBorders>
              <w:bottom w:val="double" w:sz="6" w:space="0" w:color="000000"/>
            </w:tcBorders>
            <w:shd w:fill="CCEEFF" w:val="clear"/>
            <w:tcMar>
              <w:bottom w:w="28" w:type="dxa"/>
            </w:tcMar>
            <w:vAlign w:val="center"/>
          </w:tcPr>
          <w:p>
            <w:pPr>
              <w:pStyle w:val="TableContents"/>
              <w:bidi w:val="0"/>
              <w:spacing w:before="0" w:after="283"/>
              <w:jc w:val="left"/>
              <w:rPr/>
            </w:pPr>
            <w:r>
              <w:rPr/>
              <w:t>$</w:t>
            </w:r>
            <w:bookmarkStart w:id="533" w:name="xdx_984_eus-gaap--SalesTypeLeaseUnguaran"/>
            <w:bookmarkEnd w:id="533"/>
          </w:p>
        </w:tc>
        <w:tc>
          <w:tcPr>
            <w:tcW w:w="1199"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7" w:type="dxa"/>
            <w:tcBorders>
              <w:bottom w:val="double" w:sz="6" w:space="0" w:color="000000"/>
            </w:tcBorders>
            <w:shd w:fill="CCEEFF" w:val="clear"/>
            <w:tcMar>
              <w:bottom w:w="28" w:type="dxa"/>
            </w:tcMar>
            <w:vAlign w:val="center"/>
          </w:tcPr>
          <w:p>
            <w:pPr>
              <w:pStyle w:val="TableContents"/>
              <w:bidi w:val="0"/>
              <w:spacing w:before="0" w:after="283"/>
              <w:jc w:val="left"/>
              <w:rPr/>
            </w:pPr>
            <w:r>
              <w:rPr/>
              <w:t>$</w:t>
            </w:r>
            <w:bookmarkStart w:id="534" w:name="xdx_986_eus-gaap--SalesTypeLeaseNetInves"/>
            <w:bookmarkEnd w:id="534"/>
          </w:p>
        </w:tc>
        <w:tc>
          <w:tcPr>
            <w:tcW w:w="1187"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14</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STREAMEX CORP.</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THE CONDENSED CONSOLIDATED FINANCIAL STATEMENTS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SEPTEMBER 30, 2025 </w:t>
      </w:r>
      <w:r>
        <w:rPr>
          <w:rFonts w:ascii="Times New Roman;Times;Serif" w:hAnsi="Times New Roman;Times;Serif"/>
          <w:b/>
          <w:i/>
          <w:caps w:val="false"/>
          <w:smallCaps w:val="false"/>
          <w:sz w:val="20"/>
        </w:rPr>
        <w:t>(</w:t>
      </w:r>
      <w:r>
        <w:rPr>
          <w:rFonts w:ascii="Times New Roman;Times;Serif" w:hAnsi="Times New Roman;Times;Serif"/>
          <w:b/>
          <w:i w:val="false"/>
          <w:caps w:val="false"/>
          <w:smallCaps w:val="false"/>
          <w:sz w:val="20"/>
        </w:rPr>
        <w:t>Unaudited</w:t>
      </w:r>
      <w:r>
        <w:rPr>
          <w:rFonts w:ascii="Times New Roman;Times;Serif" w:hAnsi="Times New Roman;Times;Serif"/>
          <w:b/>
          <w:i/>
          <w:caps w:val="false"/>
          <w:smallCaps w:val="false"/>
          <w:sz w:val="20"/>
        </w:rPr>
        <w: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Nine months ended September 30, 2024:</w:t>
      </w:r>
    </w:p>
    <w:p>
      <w:pPr>
        <w:pStyle w:val="TextBody"/>
        <w:bidi w:val="0"/>
        <w:spacing w:before="0" w:after="0"/>
        <w:ind w:left="0" w:right="0" w:hanging="0"/>
        <w:jc w:val="both"/>
        <w:rPr>
          <w:caps w:val="false"/>
          <w:smallCaps w:val="false"/>
        </w:rPr>
      </w:pPr>
      <w:r>
        <w:rPr>
          <w:caps w:val="false"/>
          <w:smallCaps w:val="false"/>
        </w:rPr>
        <w:t> </w:t>
      </w:r>
    </w:p>
    <w:tbl>
      <w:tblPr>
        <w:tblW w:w="9711" w:type="dxa"/>
        <w:jc w:val="left"/>
        <w:tblInd w:w="0" w:type="dxa"/>
        <w:tblLayout w:type="fixed"/>
        <w:tblCellMar>
          <w:top w:w="0" w:type="dxa"/>
          <w:left w:w="0" w:type="dxa"/>
          <w:bottom w:w="0" w:type="dxa"/>
          <w:right w:w="0" w:type="dxa"/>
        </w:tblCellMar>
      </w:tblPr>
      <w:tblGrid>
        <w:gridCol w:w="1925"/>
        <w:gridCol w:w="60"/>
        <w:gridCol w:w="254"/>
        <w:gridCol w:w="830"/>
        <w:gridCol w:w="95"/>
        <w:gridCol w:w="60"/>
        <w:gridCol w:w="859"/>
        <w:gridCol w:w="585"/>
        <w:gridCol w:w="60"/>
        <w:gridCol w:w="60"/>
        <w:gridCol w:w="337"/>
        <w:gridCol w:w="807"/>
        <w:gridCol w:w="95"/>
        <w:gridCol w:w="60"/>
        <w:gridCol w:w="476"/>
        <w:gridCol w:w="324"/>
        <w:gridCol w:w="60"/>
        <w:gridCol w:w="60"/>
        <w:gridCol w:w="481"/>
        <w:gridCol w:w="739"/>
        <w:gridCol w:w="95"/>
        <w:gridCol w:w="60"/>
        <w:gridCol w:w="359"/>
        <w:gridCol w:w="860"/>
        <w:gridCol w:w="110"/>
      </w:tblGrid>
      <w:tr>
        <w:trPr/>
        <w:tc>
          <w:tcPr>
            <w:tcW w:w="192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084" w:type="dxa"/>
            <w:gridSpan w:val="2"/>
            <w:tcBorders/>
            <w:vAlign w:val="center"/>
          </w:tcPr>
          <w:p>
            <w:pPr>
              <w:pStyle w:val="TableContents"/>
              <w:bidi w:val="0"/>
              <w:spacing w:before="0" w:after="283"/>
              <w:jc w:val="center"/>
              <w:rPr>
                <w:b/>
              </w:rPr>
            </w:pPr>
            <w:r>
              <w:rPr>
                <w:b/>
              </w:rPr>
              <w:t>Balance at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44" w:type="dxa"/>
            <w:gridSpan w:val="2"/>
            <w:tcBorders/>
            <w:vAlign w:val="center"/>
          </w:tcPr>
          <w:p>
            <w:pPr>
              <w:pStyle w:val="TableContents"/>
              <w:bidi w:val="0"/>
              <w:spacing w:before="0" w:after="283"/>
              <w:jc w:val="center"/>
              <w:rPr>
                <w:b/>
              </w:rPr>
            </w:pPr>
            <w:r>
              <w:rPr>
                <w:b/>
              </w:rPr>
              <w:t>Recognized in</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44" w:type="dxa"/>
            <w:gridSpan w:val="2"/>
            <w:tcBorders/>
            <w:vAlign w:val="center"/>
          </w:tcPr>
          <w:p>
            <w:pPr>
              <w:pStyle w:val="TableContents"/>
              <w:bidi w:val="0"/>
              <w:spacing w:before="0" w:after="283"/>
              <w:jc w:val="center"/>
              <w:rPr>
                <w:b/>
              </w:rPr>
            </w:pPr>
            <w:r>
              <w:rPr>
                <w:b/>
              </w:rPr>
              <w:t>Invoiced to</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gridSpan w:val="2"/>
            <w:tcBorders/>
            <w:vAlign w:val="center"/>
          </w:tcPr>
          <w:p>
            <w:pPr>
              <w:pStyle w:val="TableContents"/>
              <w:bidi w:val="0"/>
              <w:spacing w:before="0" w:after="283"/>
              <w:jc w:val="center"/>
              <w:rPr>
                <w:b/>
              </w:rPr>
            </w:pPr>
            <w:r>
              <w:rPr>
                <w:b/>
              </w:rPr>
              <w:t>Interest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gridSpan w:val="2"/>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Unguaranteed</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Residual</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19" w:type="dxa"/>
            <w:gridSpan w:val="2"/>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Balance at</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September 30,</w:t>
            </w:r>
          </w:p>
        </w:tc>
        <w:tc>
          <w:tcPr>
            <w:tcW w:w="110" w:type="dxa"/>
            <w:tcBorders/>
            <w:vAlign w:val="center"/>
          </w:tcPr>
          <w:p>
            <w:pPr>
              <w:pStyle w:val="TableContents"/>
              <w:bidi w:val="0"/>
              <w:spacing w:before="0" w:after="283"/>
              <w:jc w:val="left"/>
              <w:rPr/>
            </w:pPr>
            <w:r>
              <w:rPr/>
              <w:t> </w:t>
            </w:r>
          </w:p>
        </w:tc>
      </w:tr>
      <w:tr>
        <w:trPr/>
        <w:tc>
          <w:tcPr>
            <w:tcW w:w="192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084" w:type="dxa"/>
            <w:gridSpan w:val="2"/>
            <w:tcBorders/>
            <w:vAlign w:val="center"/>
          </w:tcPr>
          <w:p>
            <w:pPr>
              <w:pStyle w:val="TableContents"/>
              <w:bidi w:val="0"/>
              <w:spacing w:before="0" w:after="283"/>
              <w:jc w:val="center"/>
              <w:rPr>
                <w:b/>
              </w:rPr>
            </w:pPr>
            <w:r>
              <w:rPr>
                <w:b/>
              </w:rPr>
              <w:t>31-Dec-23</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44" w:type="dxa"/>
            <w:gridSpan w:val="2"/>
            <w:tcBorders/>
            <w:vAlign w:val="center"/>
          </w:tcPr>
          <w:p>
            <w:pPr>
              <w:pStyle w:val="TableContents"/>
              <w:bidi w:val="0"/>
              <w:spacing w:before="0" w:after="283"/>
              <w:jc w:val="center"/>
              <w:rPr>
                <w:b/>
              </w:rPr>
            </w:pPr>
            <w:r>
              <w:rPr>
                <w:b/>
              </w:rPr>
              <w:t>Revenue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44" w:type="dxa"/>
            <w:gridSpan w:val="2"/>
            <w:tcBorders/>
            <w:vAlign w:val="center"/>
          </w:tcPr>
          <w:p>
            <w:pPr>
              <w:pStyle w:val="TableContents"/>
              <w:bidi w:val="0"/>
              <w:spacing w:before="0" w:after="283"/>
              <w:jc w:val="center"/>
              <w:rPr>
                <w:b/>
              </w:rPr>
            </w:pPr>
            <w:r>
              <w:rPr>
                <w:b/>
              </w:rPr>
              <w:t>Customer</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gridSpan w:val="2"/>
            <w:tcBorders/>
            <w:vAlign w:val="center"/>
          </w:tcPr>
          <w:p>
            <w:pPr>
              <w:pStyle w:val="TableContents"/>
              <w:bidi w:val="0"/>
              <w:spacing w:before="0" w:after="283"/>
              <w:jc w:val="center"/>
              <w:rPr>
                <w:b/>
              </w:rPr>
            </w:pPr>
            <w:r>
              <w:rPr>
                <w:b/>
              </w:rPr>
              <w:t>Earned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gridSpan w:val="2"/>
            <w:tcBorders/>
            <w:vAlign w:val="center"/>
          </w:tcPr>
          <w:p>
            <w:pPr>
              <w:pStyle w:val="TableContents"/>
              <w:bidi w:val="0"/>
              <w:spacing w:before="0" w:after="283"/>
              <w:jc w:val="center"/>
              <w:rPr>
                <w:b/>
              </w:rPr>
            </w:pPr>
            <w:r>
              <w:rPr>
                <w:b/>
              </w:rPr>
              <w:t>Assets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19" w:type="dxa"/>
            <w:gridSpan w:val="2"/>
            <w:tcBorders/>
            <w:vAlign w:val="center"/>
          </w:tcPr>
          <w:p>
            <w:pPr>
              <w:pStyle w:val="TableContents"/>
              <w:bidi w:val="0"/>
              <w:spacing w:before="0" w:after="283"/>
              <w:jc w:val="center"/>
              <w:rPr>
                <w:b/>
              </w:rPr>
            </w:pPr>
            <w:r>
              <w:rPr>
                <w:b/>
              </w:rPr>
              <w:t>2024</w:t>
            </w:r>
          </w:p>
        </w:tc>
        <w:tc>
          <w:tcPr>
            <w:tcW w:w="110" w:type="dxa"/>
            <w:tcBorders/>
            <w:vAlign w:val="center"/>
          </w:tcPr>
          <w:p>
            <w:pPr>
              <w:pStyle w:val="TableContents"/>
              <w:bidi w:val="0"/>
              <w:spacing w:before="0" w:after="283"/>
              <w:jc w:val="left"/>
              <w:rPr/>
            </w:pPr>
            <w:r>
              <w:rPr/>
              <w:t> </w:t>
            </w:r>
          </w:p>
        </w:tc>
      </w:tr>
      <w:tr>
        <w:trPr/>
        <w:tc>
          <w:tcPr>
            <w:tcW w:w="192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08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(000’s)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4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(000’s)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4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(000’s)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(000’s)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(000’s)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1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(000’s)</w:t>
            </w:r>
          </w:p>
        </w:tc>
        <w:tc>
          <w:tcPr>
            <w:tcW w:w="110" w:type="dxa"/>
            <w:tcBorders/>
            <w:vAlign w:val="center"/>
          </w:tcPr>
          <w:p>
            <w:pPr>
              <w:pStyle w:val="TableContents"/>
              <w:bidi w:val="0"/>
              <w:spacing w:before="0" w:after="283"/>
              <w:jc w:val="left"/>
              <w:rPr/>
            </w:pPr>
            <w:r>
              <w:rPr/>
              <w:t> </w:t>
            </w:r>
          </w:p>
        </w:tc>
      </w:tr>
      <w:tr>
        <w:trPr/>
        <w:tc>
          <w:tcPr>
            <w:tcW w:w="1925" w:type="dxa"/>
            <w:tcBorders/>
            <w:shd w:fill="CCEEFF" w:val="clear"/>
            <w:vAlign w:val="center"/>
          </w:tcPr>
          <w:p>
            <w:pPr>
              <w:pStyle w:val="TableContents"/>
              <w:bidi w:val="0"/>
              <w:spacing w:before="0" w:after="283"/>
              <w:jc w:val="left"/>
              <w:rPr/>
            </w:pPr>
            <w:r>
              <w:rPr/>
              <w:t>Contract asset</w:t>
            </w:r>
          </w:p>
        </w:tc>
        <w:tc>
          <w:tcPr>
            <w:tcW w:w="60" w:type="dxa"/>
            <w:tcBorders/>
            <w:shd w:fill="CCEEFF" w:val="clear"/>
            <w:vAlign w:val="center"/>
          </w:tcPr>
          <w:p>
            <w:pPr>
              <w:pStyle w:val="TableContents"/>
              <w:bidi w:val="0"/>
              <w:spacing w:before="0" w:after="283"/>
              <w:jc w:val="left"/>
              <w:rPr/>
            </w:pPr>
            <w:r>
              <w:rPr/>
              <w:t> </w:t>
            </w:r>
          </w:p>
        </w:tc>
        <w:tc>
          <w:tcPr>
            <w:tcW w:w="254" w:type="dxa"/>
            <w:tcBorders/>
            <w:shd w:fill="CCEEFF" w:val="clear"/>
            <w:vAlign w:val="center"/>
          </w:tcPr>
          <w:p>
            <w:pPr>
              <w:pStyle w:val="TableContents"/>
              <w:bidi w:val="0"/>
              <w:spacing w:before="0" w:after="283"/>
              <w:jc w:val="left"/>
              <w:rPr/>
            </w:pPr>
            <w:r>
              <w:rPr/>
              <w:t>$</w:t>
            </w:r>
            <w:bookmarkStart w:id="535" w:name="xdx_987_eus-gaap--SalesTypeLeaseNetInves"/>
            <w:bookmarkEnd w:id="535"/>
          </w:p>
        </w:tc>
        <w:tc>
          <w:tcPr>
            <w:tcW w:w="830" w:type="dxa"/>
            <w:tcBorders/>
            <w:shd w:fill="CCEEFF" w:val="clear"/>
            <w:vAlign w:val="center"/>
          </w:tcPr>
          <w:p>
            <w:pPr>
              <w:pStyle w:val="TableContents"/>
              <w:bidi w:val="0"/>
              <w:spacing w:before="0" w:after="283"/>
              <w:jc w:val="right"/>
              <w:rPr/>
            </w:pPr>
            <w:r>
              <w:rPr/>
              <w:t>120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59" w:type="dxa"/>
            <w:tcBorders/>
            <w:shd w:fill="CCEEFF" w:val="clear"/>
            <w:vAlign w:val="center"/>
          </w:tcPr>
          <w:p>
            <w:pPr>
              <w:pStyle w:val="TableContents"/>
              <w:bidi w:val="0"/>
              <w:spacing w:before="0" w:after="283"/>
              <w:jc w:val="left"/>
              <w:rPr/>
            </w:pPr>
            <w:r>
              <w:rPr/>
              <w:t>$</w:t>
            </w:r>
            <w:bookmarkStart w:id="536" w:name="xdx_98E_eus-gaap--SalesTypeLeaseRevenue_"/>
            <w:bookmarkEnd w:id="536"/>
          </w:p>
        </w:tc>
        <w:tc>
          <w:tcPr>
            <w:tcW w:w="58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7" w:type="dxa"/>
            <w:tcBorders/>
            <w:shd w:fill="CCEEFF" w:val="clear"/>
            <w:vAlign w:val="center"/>
          </w:tcPr>
          <w:p>
            <w:pPr>
              <w:pStyle w:val="TableContents"/>
              <w:bidi w:val="0"/>
              <w:spacing w:before="0" w:after="283"/>
              <w:jc w:val="left"/>
              <w:rPr/>
            </w:pPr>
            <w:r>
              <w:rPr/>
              <w:t>$</w:t>
            </w:r>
            <w:bookmarkStart w:id="537" w:name="xdx_98D_ecustom--SalesTypeLeaseInvoicedT"/>
            <w:bookmarkEnd w:id="537"/>
          </w:p>
        </w:tc>
        <w:tc>
          <w:tcPr>
            <w:tcW w:w="807" w:type="dxa"/>
            <w:tcBorders/>
            <w:shd w:fill="CCEEFF" w:val="clear"/>
            <w:vAlign w:val="center"/>
          </w:tcPr>
          <w:p>
            <w:pPr>
              <w:pStyle w:val="TableContents"/>
              <w:bidi w:val="0"/>
              <w:spacing w:before="0" w:after="283"/>
              <w:jc w:val="right"/>
              <w:rPr/>
            </w:pPr>
            <w:r>
              <w:rPr/>
              <w:t>(81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476" w:type="dxa"/>
            <w:tcBorders/>
            <w:shd w:fill="CCEEFF" w:val="clear"/>
            <w:vAlign w:val="center"/>
          </w:tcPr>
          <w:p>
            <w:pPr>
              <w:pStyle w:val="TableContents"/>
              <w:bidi w:val="0"/>
              <w:spacing w:before="0" w:after="283"/>
              <w:jc w:val="left"/>
              <w:rPr/>
            </w:pPr>
            <w:r>
              <w:rPr/>
              <w:t>$</w:t>
            </w:r>
            <w:bookmarkStart w:id="538" w:name="xdx_98C_ecustom--SalesTypeLeaseInterestI"/>
            <w:bookmarkEnd w:id="538"/>
          </w:p>
        </w:tc>
        <w:tc>
          <w:tcPr>
            <w:tcW w:w="324"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81" w:type="dxa"/>
            <w:tcBorders/>
            <w:shd w:fill="CCEEFF" w:val="clear"/>
            <w:vAlign w:val="center"/>
          </w:tcPr>
          <w:p>
            <w:pPr>
              <w:pStyle w:val="TableContents"/>
              <w:bidi w:val="0"/>
              <w:spacing w:before="0" w:after="283"/>
              <w:jc w:val="left"/>
              <w:rPr/>
            </w:pPr>
            <w:r>
              <w:rPr/>
              <w:t>$</w:t>
            </w:r>
            <w:bookmarkStart w:id="539" w:name="xdx_98C_eus-gaap--SalesTypeLeaseUnguaran"/>
            <w:bookmarkEnd w:id="539"/>
          </w:p>
        </w:tc>
        <w:tc>
          <w:tcPr>
            <w:tcW w:w="739" w:type="dxa"/>
            <w:tcBorders/>
            <w:shd w:fill="CCEEFF" w:val="clear"/>
            <w:vAlign w:val="center"/>
          </w:tcPr>
          <w:p>
            <w:pPr>
              <w:pStyle w:val="TableContents"/>
              <w:bidi w:val="0"/>
              <w:spacing w:before="0" w:after="283"/>
              <w:jc w:val="right"/>
              <w:rPr/>
            </w:pPr>
            <w:r>
              <w:rPr/>
              <w:t>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59" w:type="dxa"/>
            <w:tcBorders/>
            <w:shd w:fill="CCEEFF" w:val="clear"/>
            <w:vAlign w:val="center"/>
          </w:tcPr>
          <w:p>
            <w:pPr>
              <w:pStyle w:val="TableContents"/>
              <w:bidi w:val="0"/>
              <w:spacing w:before="0" w:after="283"/>
              <w:jc w:val="left"/>
              <w:rPr/>
            </w:pPr>
            <w:r>
              <w:rPr/>
              <w:t>$</w:t>
            </w:r>
            <w:bookmarkStart w:id="540" w:name="xdx_987_eus-gaap--SalesTypeLeaseNetInves"/>
            <w:bookmarkEnd w:id="540"/>
          </w:p>
        </w:tc>
        <w:tc>
          <w:tcPr>
            <w:tcW w:w="860" w:type="dxa"/>
            <w:tcBorders/>
            <w:shd w:fill="CCEEFF" w:val="clear"/>
            <w:vAlign w:val="center"/>
          </w:tcPr>
          <w:p>
            <w:pPr>
              <w:pStyle w:val="TableContents"/>
              <w:bidi w:val="0"/>
              <w:spacing w:before="0" w:after="283"/>
              <w:jc w:val="right"/>
              <w:rPr/>
            </w:pPr>
            <w:r>
              <w:rPr/>
              <w:t>43</w:t>
            </w:r>
          </w:p>
        </w:tc>
        <w:tc>
          <w:tcPr>
            <w:tcW w:w="110" w:type="dxa"/>
            <w:tcBorders/>
            <w:shd w:fill="CCEEFF" w:val="clear"/>
            <w:vAlign w:val="center"/>
          </w:tcPr>
          <w:p>
            <w:pPr>
              <w:pStyle w:val="TableContents"/>
              <w:bidi w:val="0"/>
              <w:spacing w:before="0" w:after="283"/>
              <w:jc w:val="left"/>
              <w:rPr/>
            </w:pPr>
            <w:r>
              <w:rPr/>
              <w:t> </w:t>
            </w:r>
          </w:p>
        </w:tc>
      </w:tr>
      <w:tr>
        <w:trPr/>
        <w:tc>
          <w:tcPr>
            <w:tcW w:w="1925" w:type="dxa"/>
            <w:tcBorders/>
            <w:shd w:fill="FFFFFF" w:val="clear"/>
            <w:vAlign w:val="center"/>
          </w:tcPr>
          <w:p>
            <w:pPr>
              <w:pStyle w:val="TableContents"/>
              <w:bidi w:val="0"/>
              <w:spacing w:before="0" w:after="283"/>
              <w:jc w:val="left"/>
              <w:rPr/>
            </w:pPr>
            <w:r>
              <w:rPr/>
              <w:t>Less current portion</w:t>
            </w:r>
          </w:p>
        </w:tc>
        <w:tc>
          <w:tcPr>
            <w:tcW w:w="60" w:type="dxa"/>
            <w:tcBorders/>
            <w:shd w:fill="FFFFFF" w:val="clear"/>
            <w:vAlign w:val="center"/>
          </w:tcPr>
          <w:p>
            <w:pPr>
              <w:pStyle w:val="TableContents"/>
              <w:bidi w:val="0"/>
              <w:spacing w:before="0" w:after="283"/>
              <w:jc w:val="left"/>
              <w:rPr/>
            </w:pPr>
            <w:r>
              <w:rPr/>
              <w:t> </w:t>
            </w:r>
          </w:p>
        </w:tc>
        <w:tc>
          <w:tcPr>
            <w:tcW w:w="25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541" w:name="xdx_98C_eus-gaap--SalesTypeLeaseNetInves"/>
            <w:bookmarkEnd w:id="541"/>
          </w:p>
        </w:tc>
        <w:tc>
          <w:tcPr>
            <w:tcW w:w="830" w:type="dxa"/>
            <w:tcBorders>
              <w:bottom w:val="single" w:sz="8" w:space="0" w:color="000000"/>
            </w:tcBorders>
            <w:shd w:fill="FFFFFF" w:val="clear"/>
            <w:tcMar>
              <w:bottom w:w="28" w:type="dxa"/>
            </w:tcMar>
            <w:vAlign w:val="center"/>
          </w:tcPr>
          <w:p>
            <w:pPr>
              <w:pStyle w:val="TableContents"/>
              <w:bidi w:val="0"/>
              <w:spacing w:before="0" w:after="283"/>
              <w:jc w:val="right"/>
              <w:rPr/>
            </w:pPr>
            <w:r>
              <w:rPr/>
              <w:t>(103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85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542" w:name="xdx_983_eus-gaap--SalesTypeLeaseRevenue_"/>
            <w:bookmarkEnd w:id="542"/>
          </w:p>
        </w:tc>
        <w:tc>
          <w:tcPr>
            <w:tcW w:w="585"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3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543" w:name="xdx_98D_ecustom--SalesTypeLeaseInvoicedT"/>
            <w:bookmarkEnd w:id="543"/>
          </w:p>
        </w:tc>
        <w:tc>
          <w:tcPr>
            <w:tcW w:w="807" w:type="dxa"/>
            <w:tcBorders>
              <w:bottom w:val="single" w:sz="8" w:space="0" w:color="000000"/>
            </w:tcBorders>
            <w:shd w:fill="FFFFFF" w:val="clear"/>
            <w:tcMar>
              <w:bottom w:w="28" w:type="dxa"/>
            </w:tcMar>
            <w:vAlign w:val="center"/>
          </w:tcPr>
          <w:p>
            <w:pPr>
              <w:pStyle w:val="TableContents"/>
              <w:bidi w:val="0"/>
              <w:spacing w:before="0" w:after="283"/>
              <w:jc w:val="right"/>
              <w:rPr/>
            </w:pPr>
            <w:r>
              <w:rPr/>
              <w:t>66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7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544" w:name="xdx_982_ecustom--SalesTypeLeaseInterestI"/>
            <w:bookmarkEnd w:id="544"/>
          </w:p>
        </w:tc>
        <w:tc>
          <w:tcPr>
            <w:tcW w:w="324"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8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545" w:name="xdx_986_eus-gaap--SalesTypeLeaseUnguaran"/>
            <w:bookmarkEnd w:id="545"/>
          </w:p>
        </w:tc>
        <w:tc>
          <w:tcPr>
            <w:tcW w:w="739" w:type="dxa"/>
            <w:tcBorders>
              <w:bottom w:val="single" w:sz="8" w:space="0" w:color="000000"/>
            </w:tcBorders>
            <w:shd w:fill="FFFFFF" w:val="clear"/>
            <w:tcMar>
              <w:bottom w:w="28" w:type="dxa"/>
            </w:tcMar>
            <w:vAlign w:val="center"/>
          </w:tcPr>
          <w:p>
            <w:pPr>
              <w:pStyle w:val="TableContents"/>
              <w:bidi w:val="0"/>
              <w:spacing w:before="0" w:after="283"/>
              <w:jc w:val="right"/>
              <w:rPr/>
            </w:pPr>
            <w:r>
              <w:rPr/>
              <w:t>(2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35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546" w:name="xdx_98D_eus-gaap--SalesTypeLeaseNetInves"/>
            <w:bookmarkEnd w:id="546"/>
          </w:p>
        </w:tc>
        <w:tc>
          <w:tcPr>
            <w:tcW w:w="860" w:type="dxa"/>
            <w:tcBorders>
              <w:bottom w:val="single" w:sz="8" w:space="0" w:color="000000"/>
            </w:tcBorders>
            <w:shd w:fill="FFFFFF" w:val="clear"/>
            <w:tcMar>
              <w:bottom w:w="28" w:type="dxa"/>
            </w:tcMar>
            <w:vAlign w:val="center"/>
          </w:tcPr>
          <w:p>
            <w:pPr>
              <w:pStyle w:val="TableContents"/>
              <w:bidi w:val="0"/>
              <w:spacing w:before="0" w:after="283"/>
              <w:jc w:val="right"/>
              <w:rPr/>
            </w:pPr>
            <w:r>
              <w:rPr/>
              <w:t>(39</w:t>
            </w:r>
          </w:p>
        </w:tc>
        <w:tc>
          <w:tcPr>
            <w:tcW w:w="110" w:type="dxa"/>
            <w:tcBorders/>
            <w:shd w:fill="FFFFFF" w:val="clear"/>
            <w:vAlign w:val="center"/>
          </w:tcPr>
          <w:p>
            <w:pPr>
              <w:pStyle w:val="TableContents"/>
              <w:bidi w:val="0"/>
              <w:spacing w:before="0" w:after="283"/>
              <w:jc w:val="left"/>
              <w:rPr/>
            </w:pPr>
            <w:r>
              <w:rPr/>
              <w:t>)</w:t>
            </w:r>
          </w:p>
        </w:tc>
      </w:tr>
      <w:tr>
        <w:trPr/>
        <w:tc>
          <w:tcPr>
            <w:tcW w:w="1925" w:type="dxa"/>
            <w:tcBorders/>
            <w:shd w:fill="CCEEFF" w:val="clear"/>
            <w:vAlign w:val="center"/>
          </w:tcPr>
          <w:p>
            <w:pPr>
              <w:pStyle w:val="TableContents"/>
              <w:bidi w:val="0"/>
              <w:spacing w:before="0" w:after="283"/>
              <w:jc w:val="left"/>
              <w:rPr/>
            </w:pPr>
            <w:r>
              <w:rPr/>
              <w:t>Noncurrent portion</w:t>
            </w:r>
          </w:p>
        </w:tc>
        <w:tc>
          <w:tcPr>
            <w:tcW w:w="60" w:type="dxa"/>
            <w:tcBorders/>
            <w:shd w:fill="CCEEFF" w:val="clear"/>
            <w:vAlign w:val="center"/>
          </w:tcPr>
          <w:p>
            <w:pPr>
              <w:pStyle w:val="TableContents"/>
              <w:bidi w:val="0"/>
              <w:spacing w:before="0" w:after="283"/>
              <w:jc w:val="left"/>
              <w:rPr/>
            </w:pPr>
            <w:r>
              <w:rPr/>
              <w:t> </w:t>
            </w:r>
          </w:p>
        </w:tc>
        <w:tc>
          <w:tcPr>
            <w:tcW w:w="254" w:type="dxa"/>
            <w:tcBorders>
              <w:bottom w:val="double" w:sz="6" w:space="0" w:color="000000"/>
            </w:tcBorders>
            <w:shd w:fill="CCEEFF" w:val="clear"/>
            <w:tcMar>
              <w:bottom w:w="28" w:type="dxa"/>
            </w:tcMar>
            <w:vAlign w:val="center"/>
          </w:tcPr>
          <w:p>
            <w:pPr>
              <w:pStyle w:val="TableContents"/>
              <w:bidi w:val="0"/>
              <w:spacing w:before="0" w:after="283"/>
              <w:jc w:val="left"/>
              <w:rPr/>
            </w:pPr>
            <w:r>
              <w:rPr/>
              <w:t>$</w:t>
            </w:r>
            <w:bookmarkStart w:id="547" w:name="xdx_987_eus-gaap--SalesTypeLeaseNetInves"/>
            <w:bookmarkEnd w:id="547"/>
          </w:p>
        </w:tc>
        <w:tc>
          <w:tcPr>
            <w:tcW w:w="830" w:type="dxa"/>
            <w:tcBorders>
              <w:bottom w:val="double" w:sz="6" w:space="0" w:color="000000"/>
            </w:tcBorders>
            <w:shd w:fill="CCEEFF" w:val="clear"/>
            <w:tcMar>
              <w:bottom w:w="28" w:type="dxa"/>
            </w:tcMar>
            <w:vAlign w:val="center"/>
          </w:tcPr>
          <w:p>
            <w:pPr>
              <w:pStyle w:val="TableContents"/>
              <w:bidi w:val="0"/>
              <w:spacing w:before="0" w:after="283"/>
              <w:jc w:val="right"/>
              <w:rPr/>
            </w:pPr>
            <w:r>
              <w:rPr/>
              <w:t>17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59" w:type="dxa"/>
            <w:tcBorders>
              <w:bottom w:val="double" w:sz="6" w:space="0" w:color="000000"/>
            </w:tcBorders>
            <w:shd w:fill="CCEEFF" w:val="clear"/>
            <w:tcMar>
              <w:bottom w:w="28" w:type="dxa"/>
            </w:tcMar>
            <w:vAlign w:val="center"/>
          </w:tcPr>
          <w:p>
            <w:pPr>
              <w:pStyle w:val="TableContents"/>
              <w:bidi w:val="0"/>
              <w:spacing w:before="0" w:after="283"/>
              <w:jc w:val="left"/>
              <w:rPr/>
            </w:pPr>
            <w:r>
              <w:rPr/>
              <w:t>$</w:t>
            </w:r>
            <w:bookmarkStart w:id="548" w:name="xdx_98D_eus-gaap--SalesTypeLeaseRevenue_"/>
            <w:bookmarkEnd w:id="548"/>
          </w:p>
        </w:tc>
        <w:tc>
          <w:tcPr>
            <w:tcW w:w="585"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7" w:type="dxa"/>
            <w:tcBorders>
              <w:bottom w:val="double" w:sz="6" w:space="0" w:color="000000"/>
            </w:tcBorders>
            <w:shd w:fill="CCEEFF" w:val="clear"/>
            <w:tcMar>
              <w:bottom w:w="28" w:type="dxa"/>
            </w:tcMar>
            <w:vAlign w:val="center"/>
          </w:tcPr>
          <w:p>
            <w:pPr>
              <w:pStyle w:val="TableContents"/>
              <w:bidi w:val="0"/>
              <w:spacing w:before="0" w:after="283"/>
              <w:jc w:val="left"/>
              <w:rPr/>
            </w:pPr>
            <w:r>
              <w:rPr/>
              <w:t>$</w:t>
            </w:r>
            <w:bookmarkStart w:id="549" w:name="xdx_98A_ecustom--SalesTypeLeaseInvoicedT"/>
            <w:bookmarkEnd w:id="549"/>
          </w:p>
        </w:tc>
        <w:tc>
          <w:tcPr>
            <w:tcW w:w="807" w:type="dxa"/>
            <w:tcBorders>
              <w:bottom w:val="double" w:sz="6" w:space="0" w:color="000000"/>
            </w:tcBorders>
            <w:shd w:fill="CCEEFF" w:val="clear"/>
            <w:tcMar>
              <w:bottom w:w="28" w:type="dxa"/>
            </w:tcMar>
            <w:vAlign w:val="center"/>
          </w:tcPr>
          <w:p>
            <w:pPr>
              <w:pStyle w:val="TableContents"/>
              <w:bidi w:val="0"/>
              <w:spacing w:before="0" w:after="283"/>
              <w:jc w:val="right"/>
              <w:rPr/>
            </w:pPr>
            <w:r>
              <w:rPr/>
              <w:t>(15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476"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550" w:name="xdx_98B_ecustom--SalesTypeLeaseInterestI"/>
            <w:bookmarkEnd w:id="550"/>
          </w:p>
        </w:tc>
        <w:tc>
          <w:tcPr>
            <w:tcW w:w="324"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81" w:type="dxa"/>
            <w:tcBorders>
              <w:bottom w:val="double" w:sz="6" w:space="0" w:color="000000"/>
            </w:tcBorders>
            <w:shd w:fill="CCEEFF" w:val="clear"/>
            <w:tcMar>
              <w:bottom w:w="28" w:type="dxa"/>
            </w:tcMar>
            <w:vAlign w:val="center"/>
          </w:tcPr>
          <w:p>
            <w:pPr>
              <w:pStyle w:val="TableContents"/>
              <w:bidi w:val="0"/>
              <w:spacing w:before="0" w:after="283"/>
              <w:jc w:val="left"/>
              <w:rPr/>
            </w:pPr>
            <w:r>
              <w:rPr/>
              <w:t>$</w:t>
            </w:r>
            <w:bookmarkStart w:id="551" w:name="xdx_980_eus-gaap--SalesTypeLeaseUnguaran"/>
            <w:bookmarkEnd w:id="551"/>
          </w:p>
        </w:tc>
        <w:tc>
          <w:tcPr>
            <w:tcW w:w="739" w:type="dxa"/>
            <w:tcBorders>
              <w:bottom w:val="double" w:sz="6" w:space="0" w:color="000000"/>
            </w:tcBorders>
            <w:shd w:fill="CCEEFF" w:val="clear"/>
            <w:tcMar>
              <w:bottom w:w="28" w:type="dxa"/>
            </w:tcMar>
            <w:vAlign w:val="center"/>
          </w:tcPr>
          <w:p>
            <w:pPr>
              <w:pStyle w:val="TableContents"/>
              <w:bidi w:val="0"/>
              <w:spacing w:before="0" w:after="283"/>
              <w:jc w:val="right"/>
              <w:rPr/>
            </w:pPr>
            <w:r>
              <w:rPr/>
              <w:t>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59" w:type="dxa"/>
            <w:tcBorders>
              <w:bottom w:val="double" w:sz="6" w:space="0" w:color="000000"/>
            </w:tcBorders>
            <w:shd w:fill="CCEEFF" w:val="clear"/>
            <w:tcMar>
              <w:bottom w:w="28" w:type="dxa"/>
            </w:tcMar>
            <w:vAlign w:val="center"/>
          </w:tcPr>
          <w:p>
            <w:pPr>
              <w:pStyle w:val="TableContents"/>
              <w:bidi w:val="0"/>
              <w:spacing w:before="0" w:after="283"/>
              <w:jc w:val="left"/>
              <w:rPr/>
            </w:pPr>
            <w:r>
              <w:rPr/>
              <w:t>$</w:t>
            </w:r>
            <w:bookmarkStart w:id="552" w:name="xdx_98B_eus-gaap--SalesTypeLeaseNetInves"/>
            <w:bookmarkEnd w:id="552"/>
          </w:p>
        </w:tc>
        <w:tc>
          <w:tcPr>
            <w:tcW w:w="860" w:type="dxa"/>
            <w:tcBorders>
              <w:bottom w:val="double" w:sz="6" w:space="0" w:color="000000"/>
            </w:tcBorders>
            <w:shd w:fill="CCEEFF" w:val="clear"/>
            <w:tcMar>
              <w:bottom w:w="28" w:type="dxa"/>
            </w:tcMar>
            <w:vAlign w:val="center"/>
          </w:tcPr>
          <w:p>
            <w:pPr>
              <w:pStyle w:val="TableContents"/>
              <w:bidi w:val="0"/>
              <w:spacing w:before="0" w:after="283"/>
              <w:jc w:val="right"/>
              <w:rPr/>
            </w:pPr>
            <w:r>
              <w:rPr/>
              <w:t>4</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553" w:name="xdx_8A1_zXXntCMIyFbb"/>
      <w:bookmarkEnd w:id="553"/>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554" w:name="xdx_808_eus-gaap--AccountsPayableAndAccr"/>
      <w:bookmarkEnd w:id="554"/>
      <w:r>
        <w:rPr>
          <w:rFonts w:ascii="Times New Roman;Times;Serif" w:hAnsi="Times New Roman;Times;Serif"/>
          <w:b/>
          <w:i w:val="false"/>
          <w:caps w:val="false"/>
          <w:smallCaps w:val="false"/>
          <w:sz w:val="20"/>
        </w:rPr>
        <w:t>NOTE 8</w:t>
      </w:r>
      <w:r>
        <w:rPr>
          <w:rFonts w:ascii="Times New Roman;Times;Serif" w:hAnsi="Times New Roman;Times;Serif"/>
          <w:b w:val="false"/>
          <w:i w:val="false"/>
          <w:caps w:val="false"/>
          <w:smallCaps w:val="false"/>
          <w:sz w:val="20"/>
        </w:rPr>
        <w:t xml:space="preserve"> – </w:t>
      </w:r>
      <w:bookmarkStart w:id="555" w:name="xdx_827_zUxkXRmx05Li"/>
      <w:bookmarkEnd w:id="555"/>
      <w:r>
        <w:rPr>
          <w:rFonts w:ascii="Times New Roman;Times;Serif" w:hAnsi="Times New Roman;Times;Serif"/>
          <w:b/>
          <w:i w:val="false"/>
          <w:caps w:val="false"/>
          <w:smallCaps w:val="false"/>
          <w:sz w:val="20"/>
        </w:rPr>
        <w:t>ACCOUNTS PAYABLE AND ACCRUED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556" w:name="xdx_89A_eus-gaap--ScheduleOfAccountsPaya"/>
      <w:bookmarkEnd w:id="556"/>
      <w:r>
        <w:rPr>
          <w:rFonts w:ascii="Times New Roman;Times;Serif" w:hAnsi="Times New Roman;Times;Serif"/>
          <w:b w:val="false"/>
          <w:i w:val="false"/>
          <w:caps w:val="false"/>
          <w:smallCaps w:val="false"/>
          <w:sz w:val="20"/>
        </w:rPr>
        <w:t>Accounts payable and accrued expenses as of September 30, 2025 and December 31, 2024 consist of the following:</w:t>
      </w:r>
    </w:p>
    <w:p>
      <w:pPr>
        <w:pStyle w:val="TextBody"/>
        <w:bidi w:val="0"/>
        <w:spacing w:before="0" w:after="0"/>
        <w:ind w:left="0" w:right="0" w:hanging="0"/>
        <w:jc w:val="both"/>
        <w:rPr>
          <w:caps w:val="false"/>
          <w:smallCaps w:val="false"/>
        </w:rPr>
      </w:pPr>
      <w:r>
        <w:rPr>
          <w:caps w:val="false"/>
          <w:smallCaps w:val="false"/>
        </w:rPr>
        <w:t> </w:t>
      </w:r>
      <w:bookmarkStart w:id="557" w:name="xdx_8B5_zrOjfL9R9kKk"/>
      <w:bookmarkEnd w:id="557"/>
      <w:r>
        <w:rPr>
          <w:rFonts w:ascii="Times New Roman;Times;Serif" w:hAnsi="Times New Roman;Times;Serif"/>
          <w:b w:val="false"/>
          <w:i w:val="false"/>
          <w:caps w:val="false"/>
          <w:smallCaps w:val="false"/>
          <w:sz w:val="20"/>
        </w:rPr>
        <w:t>SCHEDULE OF ACCOUNTS PAYABLE AND ACCRUED EXPENSE</w:t>
      </w:r>
    </w:p>
    <w:tbl>
      <w:tblPr>
        <w:tblW w:w="7425" w:type="dxa"/>
        <w:jc w:val="left"/>
        <w:tblInd w:w="0" w:type="dxa"/>
        <w:tblLayout w:type="fixed"/>
        <w:tblCellMar>
          <w:top w:w="0" w:type="dxa"/>
          <w:left w:w="0" w:type="dxa"/>
          <w:bottom w:w="0" w:type="dxa"/>
          <w:right w:w="0" w:type="dxa"/>
        </w:tblCellMar>
      </w:tblPr>
      <w:tblGrid>
        <w:gridCol w:w="4280"/>
        <w:gridCol w:w="60"/>
        <w:gridCol w:w="295"/>
        <w:gridCol w:w="1180"/>
        <w:gridCol w:w="60"/>
        <w:gridCol w:w="60"/>
        <w:gridCol w:w="283"/>
        <w:gridCol w:w="1132"/>
        <w:gridCol w:w="75"/>
      </w:tblGrid>
      <w:tr>
        <w:trPr/>
        <w:tc>
          <w:tcPr>
            <w:tcW w:w="42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bookmarkStart w:id="558" w:name="xdx_492_20250930_zS05kFcKHja1"/>
            <w:bookmarkEnd w:id="558"/>
          </w:p>
        </w:tc>
        <w:tc>
          <w:tcPr>
            <w:tcW w:w="1475" w:type="dxa"/>
            <w:gridSpan w:val="2"/>
            <w:tcBorders/>
            <w:vAlign w:val="center"/>
          </w:tcPr>
          <w:p>
            <w:pPr>
              <w:pStyle w:val="TableContents"/>
              <w:bidi w:val="0"/>
              <w:spacing w:before="0" w:after="283"/>
              <w:jc w:val="center"/>
              <w:rPr>
                <w:b/>
              </w:rPr>
            </w:pPr>
            <w:r>
              <w:rPr>
                <w:b/>
              </w:rPr>
              <w:t>September 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559" w:name="xdx_492_20241231_ziU8W48YVYgd"/>
            <w:bookmarkEnd w:id="559"/>
          </w:p>
        </w:tc>
        <w:tc>
          <w:tcPr>
            <w:tcW w:w="1415" w:type="dxa"/>
            <w:gridSpan w:val="2"/>
            <w:tcBorders/>
            <w:vAlign w:val="center"/>
          </w:tcPr>
          <w:p>
            <w:pPr>
              <w:pStyle w:val="TableContents"/>
              <w:bidi w:val="0"/>
              <w:spacing w:before="0" w:after="283"/>
              <w:jc w:val="center"/>
              <w:rPr>
                <w:b/>
              </w:rPr>
            </w:pPr>
            <w:r>
              <w:rPr>
                <w:b/>
              </w:rPr>
              <w:t>December 31,</w:t>
            </w:r>
          </w:p>
        </w:tc>
        <w:tc>
          <w:tcPr>
            <w:tcW w:w="75" w:type="dxa"/>
            <w:tcBorders/>
            <w:vAlign w:val="center"/>
          </w:tcPr>
          <w:p>
            <w:pPr>
              <w:pStyle w:val="TableContents"/>
              <w:bidi w:val="0"/>
              <w:spacing w:before="0" w:after="283"/>
              <w:jc w:val="left"/>
              <w:rPr/>
            </w:pPr>
            <w:r>
              <w:rPr/>
              <w:t> </w:t>
            </w:r>
          </w:p>
        </w:tc>
      </w:tr>
      <w:tr>
        <w:trPr/>
        <w:tc>
          <w:tcPr>
            <w:tcW w:w="42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475" w:type="dxa"/>
            <w:gridSpan w:val="2"/>
            <w:tcBorders/>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5" w:type="dxa"/>
            <w:gridSpan w:val="2"/>
            <w:tcBorders/>
            <w:vAlign w:val="center"/>
          </w:tcPr>
          <w:p>
            <w:pPr>
              <w:pStyle w:val="TableContents"/>
              <w:bidi w:val="0"/>
              <w:spacing w:before="0" w:after="283"/>
              <w:jc w:val="center"/>
              <w:rPr>
                <w:b/>
              </w:rPr>
            </w:pPr>
            <w:r>
              <w:rPr>
                <w:b/>
              </w:rPr>
              <w:t>2024</w:t>
            </w:r>
          </w:p>
        </w:tc>
        <w:tc>
          <w:tcPr>
            <w:tcW w:w="75" w:type="dxa"/>
            <w:tcBorders/>
            <w:vAlign w:val="center"/>
          </w:tcPr>
          <w:p>
            <w:pPr>
              <w:pStyle w:val="TableContents"/>
              <w:bidi w:val="0"/>
              <w:spacing w:before="0" w:after="283"/>
              <w:jc w:val="left"/>
              <w:rPr/>
            </w:pPr>
            <w:r>
              <w:rPr/>
              <w:t> </w:t>
            </w:r>
          </w:p>
        </w:tc>
      </w:tr>
      <w:tr>
        <w:trPr/>
        <w:tc>
          <w:tcPr>
            <w:tcW w:w="42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47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(000’s)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(000’s)</w:t>
            </w:r>
          </w:p>
        </w:tc>
        <w:tc>
          <w:tcPr>
            <w:tcW w:w="75" w:type="dxa"/>
            <w:tcBorders/>
            <w:vAlign w:val="center"/>
          </w:tcPr>
          <w:p>
            <w:pPr>
              <w:pStyle w:val="TableContents"/>
              <w:bidi w:val="0"/>
              <w:spacing w:before="0" w:after="283"/>
              <w:jc w:val="left"/>
              <w:rPr/>
            </w:pPr>
            <w:r>
              <w:rPr/>
              <w:t> </w:t>
            </w:r>
            <w:bookmarkStart w:id="560" w:name="xdx_402_eus-gaap--AccruedProfessionalFee"/>
            <w:bookmarkEnd w:id="560"/>
          </w:p>
        </w:tc>
      </w:tr>
      <w:tr>
        <w:trPr/>
        <w:tc>
          <w:tcPr>
            <w:tcW w:w="4280" w:type="dxa"/>
            <w:tcBorders/>
            <w:shd w:fill="CCEEFF" w:val="clear"/>
            <w:vAlign w:val="center"/>
          </w:tcPr>
          <w:p>
            <w:pPr>
              <w:pStyle w:val="TableContents"/>
              <w:bidi w:val="0"/>
              <w:spacing w:before="0" w:after="283"/>
              <w:jc w:val="left"/>
              <w:rPr/>
            </w:pPr>
            <w:r>
              <w:rPr/>
              <w:t>Accrued accounting and legal</w:t>
            </w:r>
          </w:p>
        </w:tc>
        <w:tc>
          <w:tcPr>
            <w:tcW w:w="60" w:type="dxa"/>
            <w:tcBorders/>
            <w:shd w:fill="CCEEFF" w:val="clear"/>
            <w:vAlign w:val="center"/>
          </w:tcPr>
          <w:p>
            <w:pPr>
              <w:pStyle w:val="TableContents"/>
              <w:bidi w:val="0"/>
              <w:spacing w:before="0" w:after="283"/>
              <w:jc w:val="left"/>
              <w:rPr/>
            </w:pPr>
            <w:r>
              <w:rPr/>
              <w:t> </w:t>
            </w:r>
          </w:p>
        </w:tc>
        <w:tc>
          <w:tcPr>
            <w:tcW w:w="295" w:type="dxa"/>
            <w:tcBorders/>
            <w:shd w:fill="CCEEFF" w:val="clear"/>
            <w:vAlign w:val="center"/>
          </w:tcPr>
          <w:p>
            <w:pPr>
              <w:pStyle w:val="TableContents"/>
              <w:bidi w:val="0"/>
              <w:spacing w:before="0" w:after="283"/>
              <w:jc w:val="left"/>
              <w:rPr/>
            </w:pPr>
            <w:r>
              <w:rPr/>
              <w:t>$</w:t>
            </w:r>
          </w:p>
        </w:tc>
        <w:tc>
          <w:tcPr>
            <w:tcW w:w="1180" w:type="dxa"/>
            <w:tcBorders/>
            <w:shd w:fill="CCEEFF" w:val="clear"/>
            <w:vAlign w:val="center"/>
          </w:tcPr>
          <w:p>
            <w:pPr>
              <w:pStyle w:val="TableContents"/>
              <w:bidi w:val="0"/>
              <w:spacing w:before="0" w:after="283"/>
              <w:jc w:val="right"/>
              <w:rPr/>
            </w:pPr>
            <w:r>
              <w:rPr/>
              <w:t>1,062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3" w:type="dxa"/>
            <w:tcBorders/>
            <w:shd w:fill="CCEEFF" w:val="clear"/>
            <w:vAlign w:val="center"/>
          </w:tcPr>
          <w:p>
            <w:pPr>
              <w:pStyle w:val="TableContents"/>
              <w:bidi w:val="0"/>
              <w:spacing w:before="0" w:after="283"/>
              <w:jc w:val="left"/>
              <w:rPr/>
            </w:pPr>
            <w:r>
              <w:rPr/>
              <w:t>$</w:t>
            </w:r>
          </w:p>
        </w:tc>
        <w:tc>
          <w:tcPr>
            <w:tcW w:w="1132" w:type="dxa"/>
            <w:tcBorders/>
            <w:shd w:fill="CCEEFF" w:val="clear"/>
            <w:vAlign w:val="center"/>
          </w:tcPr>
          <w:p>
            <w:pPr>
              <w:pStyle w:val="TableContents"/>
              <w:bidi w:val="0"/>
              <w:spacing w:before="0" w:after="283"/>
              <w:jc w:val="right"/>
              <w:rPr/>
            </w:pPr>
            <w:r>
              <w:rPr/>
              <w:t>391</w:t>
            </w:r>
          </w:p>
        </w:tc>
        <w:tc>
          <w:tcPr>
            <w:tcW w:w="75" w:type="dxa"/>
            <w:tcBorders/>
            <w:shd w:fill="CCEEFF" w:val="clear"/>
            <w:vAlign w:val="center"/>
          </w:tcPr>
          <w:p>
            <w:pPr>
              <w:pStyle w:val="TableContents"/>
              <w:bidi w:val="0"/>
              <w:spacing w:before="0" w:after="283"/>
              <w:jc w:val="left"/>
              <w:rPr/>
            </w:pPr>
            <w:r>
              <w:rPr/>
              <w:t> </w:t>
            </w:r>
            <w:bookmarkStart w:id="561" w:name="xdx_402_ecustom--AccruedReimbursementsCu"/>
            <w:bookmarkEnd w:id="561"/>
          </w:p>
        </w:tc>
      </w:tr>
      <w:tr>
        <w:trPr/>
        <w:tc>
          <w:tcPr>
            <w:tcW w:w="4280" w:type="dxa"/>
            <w:tcBorders/>
            <w:shd w:fill="FFFFFF" w:val="clear"/>
            <w:vAlign w:val="center"/>
          </w:tcPr>
          <w:p>
            <w:pPr>
              <w:pStyle w:val="TableContents"/>
              <w:bidi w:val="0"/>
              <w:spacing w:before="0" w:after="283"/>
              <w:jc w:val="left"/>
              <w:rPr/>
            </w:pPr>
            <w:r>
              <w:rPr/>
              <w:t>Accrued reimbursements and travel</w:t>
            </w:r>
          </w:p>
        </w:tc>
        <w:tc>
          <w:tcPr>
            <w:tcW w:w="60" w:type="dxa"/>
            <w:tcBorders/>
            <w:shd w:fill="FFFFFF" w:val="clear"/>
            <w:vAlign w:val="center"/>
          </w:tcPr>
          <w:p>
            <w:pPr>
              <w:pStyle w:val="TableContents"/>
              <w:bidi w:val="0"/>
              <w:spacing w:before="0" w:after="283"/>
              <w:jc w:val="left"/>
              <w:rPr/>
            </w:pPr>
            <w:r>
              <w:rPr/>
              <w:t> </w:t>
            </w:r>
          </w:p>
        </w:tc>
        <w:tc>
          <w:tcPr>
            <w:tcW w:w="295" w:type="dxa"/>
            <w:tcBorders/>
            <w:shd w:fill="FFFFFF" w:val="clear"/>
            <w:vAlign w:val="center"/>
          </w:tcPr>
          <w:p>
            <w:pPr>
              <w:pStyle w:val="TableContents"/>
              <w:bidi w:val="0"/>
              <w:spacing w:before="0" w:after="283"/>
              <w:jc w:val="left"/>
              <w:rPr/>
            </w:pPr>
            <w:r>
              <w:rPr/>
              <w:t> </w:t>
            </w:r>
          </w:p>
        </w:tc>
        <w:tc>
          <w:tcPr>
            <w:tcW w:w="11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3" w:type="dxa"/>
            <w:tcBorders/>
            <w:shd w:fill="FFFFFF" w:val="clear"/>
            <w:vAlign w:val="center"/>
          </w:tcPr>
          <w:p>
            <w:pPr>
              <w:pStyle w:val="TableContents"/>
              <w:bidi w:val="0"/>
              <w:spacing w:before="0" w:after="283"/>
              <w:jc w:val="left"/>
              <w:rPr/>
            </w:pPr>
            <w:r>
              <w:rPr/>
              <w:t> </w:t>
            </w:r>
          </w:p>
        </w:tc>
        <w:tc>
          <w:tcPr>
            <w:tcW w:w="1132" w:type="dxa"/>
            <w:tcBorders/>
            <w:shd w:fill="FFFFFF" w:val="clear"/>
            <w:vAlign w:val="center"/>
          </w:tcPr>
          <w:p>
            <w:pPr>
              <w:pStyle w:val="TableContents"/>
              <w:bidi w:val="0"/>
              <w:spacing w:before="0" w:after="283"/>
              <w:jc w:val="right"/>
              <w:rPr/>
            </w:pPr>
            <w:r>
              <w:rPr/>
              <w:t>7</w:t>
            </w:r>
          </w:p>
        </w:tc>
        <w:tc>
          <w:tcPr>
            <w:tcW w:w="75" w:type="dxa"/>
            <w:tcBorders/>
            <w:shd w:fill="FFFFFF" w:val="clear"/>
            <w:vAlign w:val="center"/>
          </w:tcPr>
          <w:p>
            <w:pPr>
              <w:pStyle w:val="TableContents"/>
              <w:bidi w:val="0"/>
              <w:spacing w:before="0" w:after="283"/>
              <w:jc w:val="left"/>
              <w:rPr/>
            </w:pPr>
            <w:r>
              <w:rPr/>
              <w:t> </w:t>
            </w:r>
            <w:bookmarkStart w:id="562" w:name="xdx_406_ecustom--AccruedConsultingCurren"/>
            <w:bookmarkEnd w:id="562"/>
          </w:p>
        </w:tc>
      </w:tr>
      <w:tr>
        <w:trPr/>
        <w:tc>
          <w:tcPr>
            <w:tcW w:w="4280" w:type="dxa"/>
            <w:tcBorders/>
            <w:shd w:fill="CCEEFF" w:val="clear"/>
            <w:vAlign w:val="center"/>
          </w:tcPr>
          <w:p>
            <w:pPr>
              <w:pStyle w:val="TableContents"/>
              <w:bidi w:val="0"/>
              <w:spacing w:before="0" w:after="283"/>
              <w:jc w:val="left"/>
              <w:rPr/>
            </w:pPr>
            <w:r>
              <w:rPr/>
              <w:t>Accrued consulting</w:t>
            </w:r>
          </w:p>
        </w:tc>
        <w:tc>
          <w:tcPr>
            <w:tcW w:w="60" w:type="dxa"/>
            <w:tcBorders/>
            <w:shd w:fill="CCEEFF" w:val="clear"/>
            <w:vAlign w:val="center"/>
          </w:tcPr>
          <w:p>
            <w:pPr>
              <w:pStyle w:val="TableContents"/>
              <w:bidi w:val="0"/>
              <w:spacing w:before="0" w:after="283"/>
              <w:jc w:val="left"/>
              <w:rPr/>
            </w:pPr>
            <w:r>
              <w:rPr/>
              <w:t> </w:t>
            </w:r>
          </w:p>
        </w:tc>
        <w:tc>
          <w:tcPr>
            <w:tcW w:w="295" w:type="dxa"/>
            <w:tcBorders/>
            <w:shd w:fill="CCEEFF" w:val="clear"/>
            <w:vAlign w:val="center"/>
          </w:tcPr>
          <w:p>
            <w:pPr>
              <w:pStyle w:val="TableContents"/>
              <w:bidi w:val="0"/>
              <w:spacing w:before="0" w:after="283"/>
              <w:jc w:val="left"/>
              <w:rPr/>
            </w:pPr>
            <w:r>
              <w:rPr/>
              <w:t> </w:t>
            </w:r>
          </w:p>
        </w:tc>
        <w:tc>
          <w:tcPr>
            <w:tcW w:w="1180" w:type="dxa"/>
            <w:tcBorders/>
            <w:shd w:fill="CCEEFF" w:val="clear"/>
            <w:vAlign w:val="center"/>
          </w:tcPr>
          <w:p>
            <w:pPr>
              <w:pStyle w:val="TableContents"/>
              <w:bidi w:val="0"/>
              <w:spacing w:before="0" w:after="283"/>
              <w:jc w:val="right"/>
              <w:rPr/>
            </w:pPr>
            <w:r>
              <w:rPr/>
              <w:t>188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3" w:type="dxa"/>
            <w:tcBorders/>
            <w:shd w:fill="CCEEFF" w:val="clear"/>
            <w:vAlign w:val="center"/>
          </w:tcPr>
          <w:p>
            <w:pPr>
              <w:pStyle w:val="TableContents"/>
              <w:bidi w:val="0"/>
              <w:spacing w:before="0" w:after="283"/>
              <w:jc w:val="left"/>
              <w:rPr/>
            </w:pPr>
            <w:r>
              <w:rPr/>
              <w:t> </w:t>
            </w:r>
          </w:p>
        </w:tc>
        <w:tc>
          <w:tcPr>
            <w:tcW w:w="1132" w:type="dxa"/>
            <w:tcBorders/>
            <w:shd w:fill="CCEEFF" w:val="clear"/>
            <w:vAlign w:val="center"/>
          </w:tcPr>
          <w:p>
            <w:pPr>
              <w:pStyle w:val="TableContents"/>
              <w:bidi w:val="0"/>
              <w:spacing w:before="0" w:after="283"/>
              <w:jc w:val="right"/>
              <w:rPr/>
            </w:pPr>
            <w:r>
              <w:rPr/>
              <w:t>171</w:t>
            </w:r>
          </w:p>
        </w:tc>
        <w:tc>
          <w:tcPr>
            <w:tcW w:w="75" w:type="dxa"/>
            <w:tcBorders/>
            <w:shd w:fill="CCEEFF" w:val="clear"/>
            <w:vAlign w:val="center"/>
          </w:tcPr>
          <w:p>
            <w:pPr>
              <w:pStyle w:val="TableContents"/>
              <w:bidi w:val="0"/>
              <w:spacing w:before="0" w:after="283"/>
              <w:jc w:val="left"/>
              <w:rPr/>
            </w:pPr>
            <w:r>
              <w:rPr/>
              <w:t> </w:t>
            </w:r>
            <w:bookmarkStart w:id="563" w:name="xdx_40D_ecustom--AccruedFindersFees_iI_p"/>
            <w:bookmarkEnd w:id="563"/>
          </w:p>
        </w:tc>
      </w:tr>
      <w:tr>
        <w:trPr/>
        <w:tc>
          <w:tcPr>
            <w:tcW w:w="4280" w:type="dxa"/>
            <w:tcBorders/>
            <w:shd w:fill="FFFFFF" w:val="clear"/>
            <w:vAlign w:val="center"/>
          </w:tcPr>
          <w:p>
            <w:pPr>
              <w:pStyle w:val="TableContents"/>
              <w:bidi w:val="0"/>
              <w:spacing w:before="0" w:after="283"/>
              <w:jc w:val="left"/>
              <w:rPr/>
            </w:pPr>
            <w:r>
              <w:rPr/>
              <w:t>Accrued finders fee</w:t>
            </w:r>
          </w:p>
        </w:tc>
        <w:tc>
          <w:tcPr>
            <w:tcW w:w="60" w:type="dxa"/>
            <w:tcBorders/>
            <w:shd w:fill="FFFFFF" w:val="clear"/>
            <w:vAlign w:val="center"/>
          </w:tcPr>
          <w:p>
            <w:pPr>
              <w:pStyle w:val="TableContents"/>
              <w:bidi w:val="0"/>
              <w:spacing w:before="0" w:after="283"/>
              <w:jc w:val="left"/>
              <w:rPr/>
            </w:pPr>
            <w:r>
              <w:rPr/>
              <w:t> </w:t>
            </w:r>
          </w:p>
        </w:tc>
        <w:tc>
          <w:tcPr>
            <w:tcW w:w="295" w:type="dxa"/>
            <w:tcBorders/>
            <w:shd w:fill="FFFFFF" w:val="clear"/>
            <w:vAlign w:val="center"/>
          </w:tcPr>
          <w:p>
            <w:pPr>
              <w:pStyle w:val="TableContents"/>
              <w:bidi w:val="0"/>
              <w:spacing w:before="0" w:after="283"/>
              <w:jc w:val="left"/>
              <w:rPr/>
            </w:pPr>
            <w:r>
              <w:rPr/>
              <w:t> </w:t>
            </w:r>
          </w:p>
        </w:tc>
        <w:tc>
          <w:tcPr>
            <w:tcW w:w="1180" w:type="dxa"/>
            <w:tcBorders/>
            <w:shd w:fill="FFFFFF" w:val="clear"/>
            <w:vAlign w:val="center"/>
          </w:tcPr>
          <w:p>
            <w:pPr>
              <w:pStyle w:val="TableContents"/>
              <w:bidi w:val="0"/>
              <w:spacing w:before="0" w:after="283"/>
              <w:jc w:val="right"/>
              <w:rPr/>
            </w:pPr>
            <w:r>
              <w:rPr/>
              <w:t>6,026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3" w:type="dxa"/>
            <w:tcBorders/>
            <w:shd w:fill="FFFFFF" w:val="clear"/>
            <w:vAlign w:val="center"/>
          </w:tcPr>
          <w:p>
            <w:pPr>
              <w:pStyle w:val="TableContents"/>
              <w:bidi w:val="0"/>
              <w:spacing w:before="0" w:after="283"/>
              <w:jc w:val="left"/>
              <w:rPr/>
            </w:pPr>
            <w:r>
              <w:rPr/>
              <w:t> </w:t>
            </w:r>
          </w:p>
        </w:tc>
        <w:tc>
          <w:tcPr>
            <w:tcW w:w="1132"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bookmarkStart w:id="564" w:name="xdx_40C_ecustom--AccruedResearchAndDevel"/>
            <w:bookmarkEnd w:id="564"/>
          </w:p>
        </w:tc>
      </w:tr>
      <w:tr>
        <w:trPr/>
        <w:tc>
          <w:tcPr>
            <w:tcW w:w="4280" w:type="dxa"/>
            <w:tcBorders/>
            <w:shd w:fill="CCEEFF" w:val="clear"/>
            <w:vAlign w:val="center"/>
          </w:tcPr>
          <w:p>
            <w:pPr>
              <w:pStyle w:val="TableContents"/>
              <w:bidi w:val="0"/>
              <w:spacing w:before="0" w:after="283"/>
              <w:jc w:val="left"/>
              <w:rPr/>
            </w:pPr>
            <w:r>
              <w:rPr/>
              <w:t>Accrued research and development expenses</w:t>
            </w:r>
          </w:p>
        </w:tc>
        <w:tc>
          <w:tcPr>
            <w:tcW w:w="60" w:type="dxa"/>
            <w:tcBorders/>
            <w:shd w:fill="CCEEFF" w:val="clear"/>
            <w:vAlign w:val="center"/>
          </w:tcPr>
          <w:p>
            <w:pPr>
              <w:pStyle w:val="TableContents"/>
              <w:bidi w:val="0"/>
              <w:spacing w:before="0" w:after="283"/>
              <w:jc w:val="left"/>
              <w:rPr/>
            </w:pPr>
            <w:r>
              <w:rPr/>
              <w:t> </w:t>
            </w:r>
          </w:p>
        </w:tc>
        <w:tc>
          <w:tcPr>
            <w:tcW w:w="295" w:type="dxa"/>
            <w:tcBorders/>
            <w:shd w:fill="CCEEFF" w:val="clear"/>
            <w:vAlign w:val="center"/>
          </w:tcPr>
          <w:p>
            <w:pPr>
              <w:pStyle w:val="TableContents"/>
              <w:bidi w:val="0"/>
              <w:spacing w:before="0" w:after="283"/>
              <w:jc w:val="left"/>
              <w:rPr/>
            </w:pPr>
            <w:r>
              <w:rPr/>
              <w:t> </w:t>
            </w:r>
          </w:p>
        </w:tc>
        <w:tc>
          <w:tcPr>
            <w:tcW w:w="1180" w:type="dxa"/>
            <w:tcBorders/>
            <w:shd w:fill="CCEEFF" w:val="clear"/>
            <w:vAlign w:val="center"/>
          </w:tcPr>
          <w:p>
            <w:pPr>
              <w:pStyle w:val="TableContents"/>
              <w:bidi w:val="0"/>
              <w:spacing w:before="0" w:after="283"/>
              <w:jc w:val="right"/>
              <w:rPr/>
            </w:pPr>
            <w:r>
              <w:rPr/>
              <w:t>168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3" w:type="dxa"/>
            <w:tcBorders/>
            <w:shd w:fill="CCEEFF" w:val="clear"/>
            <w:vAlign w:val="center"/>
          </w:tcPr>
          <w:p>
            <w:pPr>
              <w:pStyle w:val="TableContents"/>
              <w:bidi w:val="0"/>
              <w:spacing w:before="0" w:after="283"/>
              <w:jc w:val="left"/>
              <w:rPr/>
            </w:pPr>
            <w:r>
              <w:rPr/>
              <w:t> </w:t>
            </w:r>
          </w:p>
        </w:tc>
        <w:tc>
          <w:tcPr>
            <w:tcW w:w="1132" w:type="dxa"/>
            <w:tcBorders/>
            <w:shd w:fill="CCEEFF" w:val="clear"/>
            <w:vAlign w:val="center"/>
          </w:tcPr>
          <w:p>
            <w:pPr>
              <w:pStyle w:val="TableContents"/>
              <w:bidi w:val="0"/>
              <w:spacing w:before="0" w:after="283"/>
              <w:jc w:val="right"/>
              <w:rPr/>
            </w:pPr>
            <w:r>
              <w:rPr/>
              <w:t>351</w:t>
            </w:r>
          </w:p>
        </w:tc>
        <w:tc>
          <w:tcPr>
            <w:tcW w:w="75" w:type="dxa"/>
            <w:tcBorders/>
            <w:shd w:fill="CCEEFF" w:val="clear"/>
            <w:vAlign w:val="center"/>
          </w:tcPr>
          <w:p>
            <w:pPr>
              <w:pStyle w:val="TableContents"/>
              <w:bidi w:val="0"/>
              <w:spacing w:before="0" w:after="283"/>
              <w:jc w:val="left"/>
              <w:rPr/>
            </w:pPr>
            <w:r>
              <w:rPr/>
              <w:t> </w:t>
            </w:r>
            <w:bookmarkStart w:id="565" w:name="xdx_400_eus-gaap--AccruedMarketingCostsC"/>
            <w:bookmarkEnd w:id="565"/>
          </w:p>
        </w:tc>
      </w:tr>
      <w:tr>
        <w:trPr/>
        <w:tc>
          <w:tcPr>
            <w:tcW w:w="4280" w:type="dxa"/>
            <w:tcBorders/>
            <w:shd w:fill="FFFFFF" w:val="clear"/>
            <w:vAlign w:val="center"/>
          </w:tcPr>
          <w:p>
            <w:pPr>
              <w:pStyle w:val="TableContents"/>
              <w:bidi w:val="0"/>
              <w:spacing w:before="0" w:after="283"/>
              <w:jc w:val="left"/>
              <w:rPr/>
            </w:pPr>
            <w:r>
              <w:rPr/>
              <w:t>Accrued marketing</w:t>
            </w:r>
          </w:p>
        </w:tc>
        <w:tc>
          <w:tcPr>
            <w:tcW w:w="60" w:type="dxa"/>
            <w:tcBorders/>
            <w:shd w:fill="FFFFFF" w:val="clear"/>
            <w:vAlign w:val="center"/>
          </w:tcPr>
          <w:p>
            <w:pPr>
              <w:pStyle w:val="TableContents"/>
              <w:bidi w:val="0"/>
              <w:spacing w:before="0" w:after="283"/>
              <w:jc w:val="left"/>
              <w:rPr/>
            </w:pPr>
            <w:r>
              <w:rPr/>
              <w:t> </w:t>
            </w:r>
          </w:p>
        </w:tc>
        <w:tc>
          <w:tcPr>
            <w:tcW w:w="295" w:type="dxa"/>
            <w:tcBorders/>
            <w:shd w:fill="FFFFFF" w:val="clear"/>
            <w:vAlign w:val="center"/>
          </w:tcPr>
          <w:p>
            <w:pPr>
              <w:pStyle w:val="TableContents"/>
              <w:bidi w:val="0"/>
              <w:spacing w:before="0" w:after="283"/>
              <w:jc w:val="left"/>
              <w:rPr/>
            </w:pPr>
            <w:r>
              <w:rPr/>
              <w:t> </w:t>
            </w:r>
          </w:p>
        </w:tc>
        <w:tc>
          <w:tcPr>
            <w:tcW w:w="11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3" w:type="dxa"/>
            <w:tcBorders/>
            <w:shd w:fill="FFFFFF" w:val="clear"/>
            <w:vAlign w:val="center"/>
          </w:tcPr>
          <w:p>
            <w:pPr>
              <w:pStyle w:val="TableContents"/>
              <w:bidi w:val="0"/>
              <w:spacing w:before="0" w:after="283"/>
              <w:jc w:val="left"/>
              <w:rPr/>
            </w:pPr>
            <w:r>
              <w:rPr/>
              <w:t> </w:t>
            </w:r>
          </w:p>
        </w:tc>
        <w:tc>
          <w:tcPr>
            <w:tcW w:w="1132" w:type="dxa"/>
            <w:tcBorders/>
            <w:shd w:fill="FFFFFF" w:val="clear"/>
            <w:vAlign w:val="center"/>
          </w:tcPr>
          <w:p>
            <w:pPr>
              <w:pStyle w:val="TableContents"/>
              <w:bidi w:val="0"/>
              <w:spacing w:before="0" w:after="283"/>
              <w:jc w:val="right"/>
              <w:rPr/>
            </w:pPr>
            <w:r>
              <w:rPr/>
              <w:t>13</w:t>
            </w:r>
          </w:p>
        </w:tc>
        <w:tc>
          <w:tcPr>
            <w:tcW w:w="75" w:type="dxa"/>
            <w:tcBorders/>
            <w:shd w:fill="FFFFFF" w:val="clear"/>
            <w:vAlign w:val="center"/>
          </w:tcPr>
          <w:p>
            <w:pPr>
              <w:pStyle w:val="TableContents"/>
              <w:bidi w:val="0"/>
              <w:spacing w:before="0" w:after="283"/>
              <w:jc w:val="left"/>
              <w:rPr/>
            </w:pPr>
            <w:r>
              <w:rPr/>
              <w:t> </w:t>
            </w:r>
            <w:bookmarkStart w:id="566" w:name="xdx_401_ecustom--AccruedOfficeExpenseAnd"/>
            <w:bookmarkEnd w:id="566"/>
          </w:p>
        </w:tc>
      </w:tr>
      <w:tr>
        <w:trPr/>
        <w:tc>
          <w:tcPr>
            <w:tcW w:w="4280" w:type="dxa"/>
            <w:tcBorders/>
            <w:shd w:fill="CCEEFF" w:val="clear"/>
            <w:vAlign w:val="center"/>
          </w:tcPr>
          <w:p>
            <w:pPr>
              <w:pStyle w:val="TableContents"/>
              <w:bidi w:val="0"/>
              <w:spacing w:before="0" w:after="283"/>
              <w:jc w:val="left"/>
              <w:rPr/>
            </w:pPr>
            <w:r>
              <w:rPr/>
              <w:t>Accrued office and other</w:t>
            </w:r>
          </w:p>
        </w:tc>
        <w:tc>
          <w:tcPr>
            <w:tcW w:w="60" w:type="dxa"/>
            <w:tcBorders/>
            <w:shd w:fill="CCEEFF" w:val="clear"/>
            <w:vAlign w:val="center"/>
          </w:tcPr>
          <w:p>
            <w:pPr>
              <w:pStyle w:val="TableContents"/>
              <w:bidi w:val="0"/>
              <w:spacing w:before="0" w:after="283"/>
              <w:jc w:val="left"/>
              <w:rPr/>
            </w:pPr>
            <w:r>
              <w:rPr/>
              <w:t> </w:t>
            </w:r>
          </w:p>
        </w:tc>
        <w:tc>
          <w:tcPr>
            <w:tcW w:w="295" w:type="dxa"/>
            <w:tcBorders/>
            <w:shd w:fill="CCEEFF" w:val="clear"/>
            <w:vAlign w:val="center"/>
          </w:tcPr>
          <w:p>
            <w:pPr>
              <w:pStyle w:val="TableContents"/>
              <w:bidi w:val="0"/>
              <w:spacing w:before="0" w:after="283"/>
              <w:jc w:val="left"/>
              <w:rPr/>
            </w:pPr>
            <w:r>
              <w:rPr/>
              <w:t> </w:t>
            </w:r>
          </w:p>
        </w:tc>
        <w:tc>
          <w:tcPr>
            <w:tcW w:w="1180" w:type="dxa"/>
            <w:tcBorders/>
            <w:shd w:fill="CCEEFF" w:val="clear"/>
            <w:vAlign w:val="center"/>
          </w:tcPr>
          <w:p>
            <w:pPr>
              <w:pStyle w:val="TableContents"/>
              <w:bidi w:val="0"/>
              <w:spacing w:before="0" w:after="283"/>
              <w:jc w:val="right"/>
              <w:rPr/>
            </w:pPr>
            <w:r>
              <w:rPr/>
              <w:t>80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3" w:type="dxa"/>
            <w:tcBorders/>
            <w:shd w:fill="CCEEFF" w:val="clear"/>
            <w:vAlign w:val="center"/>
          </w:tcPr>
          <w:p>
            <w:pPr>
              <w:pStyle w:val="TableContents"/>
              <w:bidi w:val="0"/>
              <w:spacing w:before="0" w:after="283"/>
              <w:jc w:val="left"/>
              <w:rPr/>
            </w:pPr>
            <w:r>
              <w:rPr/>
              <w:t> </w:t>
            </w:r>
          </w:p>
        </w:tc>
        <w:tc>
          <w:tcPr>
            <w:tcW w:w="1132" w:type="dxa"/>
            <w:tcBorders/>
            <w:shd w:fill="CCEEFF" w:val="clear"/>
            <w:vAlign w:val="center"/>
          </w:tcPr>
          <w:p>
            <w:pPr>
              <w:pStyle w:val="TableContents"/>
              <w:bidi w:val="0"/>
              <w:spacing w:before="0" w:after="283"/>
              <w:jc w:val="right"/>
              <w:rPr/>
            </w:pPr>
            <w:r>
              <w:rPr/>
              <w:t>439</w:t>
            </w:r>
          </w:p>
        </w:tc>
        <w:tc>
          <w:tcPr>
            <w:tcW w:w="75" w:type="dxa"/>
            <w:tcBorders/>
            <w:shd w:fill="CCEEFF" w:val="clear"/>
            <w:vAlign w:val="center"/>
          </w:tcPr>
          <w:p>
            <w:pPr>
              <w:pStyle w:val="TableContents"/>
              <w:bidi w:val="0"/>
              <w:spacing w:before="0" w:after="283"/>
              <w:jc w:val="left"/>
              <w:rPr/>
            </w:pPr>
            <w:r>
              <w:rPr/>
              <w:t> </w:t>
            </w:r>
            <w:bookmarkStart w:id="567" w:name="xdx_405_ecustom--AccruedInsurancePremium"/>
            <w:bookmarkEnd w:id="567"/>
          </w:p>
        </w:tc>
      </w:tr>
      <w:tr>
        <w:trPr/>
        <w:tc>
          <w:tcPr>
            <w:tcW w:w="42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Accrued insurance premium financing</w:t>
            </w:r>
            <w:bookmarkStart w:id="568" w:name="xdx_F44_z6LQRKTRbPPg"/>
            <w:bookmarkEnd w:id="568"/>
            <w:r>
              <w:rPr>
                <w:rFonts w:ascii="Times New Roman;Times;Serif" w:hAnsi="Times New Roman;Times;Serif"/>
                <w:sz w:val="20"/>
              </w:rPr>
              <w:t>(1)</w:t>
            </w:r>
          </w:p>
        </w:tc>
        <w:tc>
          <w:tcPr>
            <w:tcW w:w="60" w:type="dxa"/>
            <w:tcBorders/>
            <w:shd w:fill="FFFFFF" w:val="clear"/>
            <w:vAlign w:val="center"/>
          </w:tcPr>
          <w:p>
            <w:pPr>
              <w:pStyle w:val="TableContents"/>
              <w:bidi w:val="0"/>
              <w:spacing w:before="0" w:after="283"/>
              <w:jc w:val="left"/>
              <w:rPr/>
            </w:pPr>
            <w:r>
              <w:rPr/>
              <w:t> </w:t>
            </w:r>
          </w:p>
        </w:tc>
        <w:tc>
          <w:tcPr>
            <w:tcW w:w="295" w:type="dxa"/>
            <w:tcBorders/>
            <w:shd w:fill="FFFFFF" w:val="clear"/>
            <w:vAlign w:val="center"/>
          </w:tcPr>
          <w:p>
            <w:pPr>
              <w:pStyle w:val="TableContents"/>
              <w:bidi w:val="0"/>
              <w:spacing w:before="0" w:after="283"/>
              <w:jc w:val="left"/>
              <w:rPr/>
            </w:pPr>
            <w:r>
              <w:rPr/>
              <w:t> </w:t>
            </w:r>
          </w:p>
        </w:tc>
        <w:tc>
          <w:tcPr>
            <w:tcW w:w="1180" w:type="dxa"/>
            <w:tcBorders/>
            <w:shd w:fill="FFFFFF" w:val="clear"/>
            <w:vAlign w:val="center"/>
          </w:tcPr>
          <w:p>
            <w:pPr>
              <w:pStyle w:val="TableContents"/>
              <w:bidi w:val="0"/>
              <w:spacing w:before="0" w:after="283"/>
              <w:jc w:val="right"/>
              <w:rPr/>
            </w:pPr>
            <w:r>
              <w:rPr/>
              <w:t>1,452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3" w:type="dxa"/>
            <w:tcBorders/>
            <w:shd w:fill="FFFFFF" w:val="clear"/>
            <w:vAlign w:val="center"/>
          </w:tcPr>
          <w:p>
            <w:pPr>
              <w:pStyle w:val="TableContents"/>
              <w:bidi w:val="0"/>
              <w:spacing w:before="0" w:after="283"/>
              <w:jc w:val="left"/>
              <w:rPr/>
            </w:pPr>
            <w:r>
              <w:rPr/>
              <w:t> </w:t>
            </w:r>
          </w:p>
        </w:tc>
        <w:tc>
          <w:tcPr>
            <w:tcW w:w="1132"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bookmarkStart w:id="569" w:name="xdx_407_ecustom--AccruedSettlementExpens"/>
            <w:bookmarkEnd w:id="569"/>
          </w:p>
        </w:tc>
      </w:tr>
      <w:tr>
        <w:trPr/>
        <w:tc>
          <w:tcPr>
            <w:tcW w:w="4280" w:type="dxa"/>
            <w:tcBorders/>
            <w:shd w:fill="CCEEFF" w:val="clear"/>
            <w:vAlign w:val="center"/>
          </w:tcPr>
          <w:p>
            <w:pPr>
              <w:pStyle w:val="TableContents"/>
              <w:bidi w:val="0"/>
              <w:spacing w:before="0" w:after="283"/>
              <w:jc w:val="left"/>
              <w:rPr/>
            </w:pPr>
            <w:r>
              <w:rPr/>
              <w:t>Accrued settlement expense</w:t>
            </w:r>
          </w:p>
        </w:tc>
        <w:tc>
          <w:tcPr>
            <w:tcW w:w="60" w:type="dxa"/>
            <w:tcBorders/>
            <w:shd w:fill="CCEEFF" w:val="clear"/>
            <w:vAlign w:val="center"/>
          </w:tcPr>
          <w:p>
            <w:pPr>
              <w:pStyle w:val="TableContents"/>
              <w:bidi w:val="0"/>
              <w:spacing w:before="0" w:after="283"/>
              <w:jc w:val="left"/>
              <w:rPr/>
            </w:pPr>
            <w:r>
              <w:rPr/>
              <w:t> </w:t>
            </w:r>
          </w:p>
        </w:tc>
        <w:tc>
          <w:tcPr>
            <w:tcW w:w="295" w:type="dxa"/>
            <w:tcBorders/>
            <w:shd w:fill="CCEEFF" w:val="clear"/>
            <w:vAlign w:val="center"/>
          </w:tcPr>
          <w:p>
            <w:pPr>
              <w:pStyle w:val="TableContents"/>
              <w:bidi w:val="0"/>
              <w:spacing w:before="0" w:after="283"/>
              <w:jc w:val="left"/>
              <w:rPr/>
            </w:pPr>
            <w:r>
              <w:rPr/>
              <w:t> </w:t>
            </w:r>
          </w:p>
        </w:tc>
        <w:tc>
          <w:tcPr>
            <w:tcW w:w="11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3" w:type="dxa"/>
            <w:tcBorders/>
            <w:shd w:fill="CCEEFF" w:val="clear"/>
            <w:vAlign w:val="center"/>
          </w:tcPr>
          <w:p>
            <w:pPr>
              <w:pStyle w:val="TableContents"/>
              <w:bidi w:val="0"/>
              <w:spacing w:before="0" w:after="283"/>
              <w:jc w:val="left"/>
              <w:rPr/>
            </w:pPr>
            <w:r>
              <w:rPr/>
              <w:t> </w:t>
            </w:r>
          </w:p>
        </w:tc>
        <w:tc>
          <w:tcPr>
            <w:tcW w:w="1132" w:type="dxa"/>
            <w:tcBorders/>
            <w:shd w:fill="CCEEFF" w:val="clear"/>
            <w:vAlign w:val="center"/>
          </w:tcPr>
          <w:p>
            <w:pPr>
              <w:pStyle w:val="TableContents"/>
              <w:bidi w:val="0"/>
              <w:spacing w:before="0" w:after="283"/>
              <w:jc w:val="right"/>
              <w:rPr/>
            </w:pPr>
            <w:r>
              <w:rPr/>
              <w:t>494</w:t>
            </w:r>
          </w:p>
        </w:tc>
        <w:tc>
          <w:tcPr>
            <w:tcW w:w="75" w:type="dxa"/>
            <w:tcBorders/>
            <w:shd w:fill="CCEEFF" w:val="clear"/>
            <w:vAlign w:val="center"/>
          </w:tcPr>
          <w:p>
            <w:pPr>
              <w:pStyle w:val="TableContents"/>
              <w:bidi w:val="0"/>
              <w:spacing w:before="0" w:after="283"/>
              <w:jc w:val="left"/>
              <w:rPr/>
            </w:pPr>
            <w:r>
              <w:rPr/>
              <w:t> </w:t>
            </w:r>
            <w:bookmarkStart w:id="570" w:name="xdx_40E_eus-gaap--AccruedSalariesCurrent"/>
            <w:bookmarkEnd w:id="570"/>
          </w:p>
        </w:tc>
      </w:tr>
      <w:tr>
        <w:trPr/>
        <w:tc>
          <w:tcPr>
            <w:tcW w:w="4280" w:type="dxa"/>
            <w:tcBorders/>
            <w:shd w:fill="FFFFFF" w:val="clear"/>
            <w:vAlign w:val="center"/>
          </w:tcPr>
          <w:p>
            <w:pPr>
              <w:pStyle w:val="TableContents"/>
              <w:bidi w:val="0"/>
              <w:spacing w:before="0" w:after="283"/>
              <w:jc w:val="left"/>
              <w:rPr/>
            </w:pPr>
            <w:r>
              <w:rPr/>
              <w:t>Accrued payroll</w:t>
            </w:r>
          </w:p>
        </w:tc>
        <w:tc>
          <w:tcPr>
            <w:tcW w:w="60" w:type="dxa"/>
            <w:tcBorders/>
            <w:shd w:fill="FFFFFF" w:val="clear"/>
            <w:vAlign w:val="center"/>
          </w:tcPr>
          <w:p>
            <w:pPr>
              <w:pStyle w:val="TableContents"/>
              <w:bidi w:val="0"/>
              <w:spacing w:before="0" w:after="283"/>
              <w:jc w:val="left"/>
              <w:rPr/>
            </w:pPr>
            <w:r>
              <w:rPr/>
              <w:t> </w:t>
            </w:r>
          </w:p>
        </w:tc>
        <w:tc>
          <w:tcPr>
            <w:tcW w:w="29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80" w:type="dxa"/>
            <w:tcBorders>
              <w:bottom w:val="single" w:sz="8" w:space="0" w:color="000000"/>
            </w:tcBorders>
            <w:shd w:fill="FFFFFF" w:val="clear"/>
            <w:tcMar>
              <w:bottom w:w="28" w:type="dxa"/>
            </w:tcMar>
            <w:vAlign w:val="center"/>
          </w:tcPr>
          <w:p>
            <w:pPr>
              <w:pStyle w:val="TableContents"/>
              <w:bidi w:val="0"/>
              <w:spacing w:before="0" w:after="283"/>
              <w:jc w:val="right"/>
              <w:rPr/>
            </w:pPr>
            <w:r>
              <w:rPr/>
              <w:t>795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32" w:type="dxa"/>
            <w:tcBorders>
              <w:bottom w:val="single" w:sz="8" w:space="0" w:color="000000"/>
            </w:tcBorders>
            <w:shd w:fill="FFFFFF" w:val="clear"/>
            <w:tcMar>
              <w:bottom w:w="28" w:type="dxa"/>
            </w:tcMar>
            <w:vAlign w:val="center"/>
          </w:tcPr>
          <w:p>
            <w:pPr>
              <w:pStyle w:val="TableContents"/>
              <w:bidi w:val="0"/>
              <w:spacing w:before="0" w:after="283"/>
              <w:jc w:val="right"/>
              <w:rPr/>
            </w:pPr>
            <w:r>
              <w:rPr/>
              <w:t>186</w:t>
            </w:r>
          </w:p>
        </w:tc>
        <w:tc>
          <w:tcPr>
            <w:tcW w:w="75" w:type="dxa"/>
            <w:tcBorders/>
            <w:shd w:fill="FFFFFF" w:val="clear"/>
            <w:vAlign w:val="center"/>
          </w:tcPr>
          <w:p>
            <w:pPr>
              <w:pStyle w:val="TableContents"/>
              <w:bidi w:val="0"/>
              <w:spacing w:before="0" w:after="283"/>
              <w:jc w:val="left"/>
              <w:rPr/>
            </w:pPr>
            <w:r>
              <w:rPr/>
              <w:t> </w:t>
            </w:r>
            <w:bookmarkStart w:id="571" w:name="xdx_40C_eus-gaap--AccountsPayableAndAccr"/>
            <w:bookmarkEnd w:id="571"/>
          </w:p>
        </w:tc>
      </w:tr>
      <w:tr>
        <w:trPr/>
        <w:tc>
          <w:tcPr>
            <w:tcW w:w="42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Accounts payable and accrued expenses</w:t>
            </w:r>
          </w:p>
        </w:tc>
        <w:tc>
          <w:tcPr>
            <w:tcW w:w="60" w:type="dxa"/>
            <w:tcBorders/>
            <w:shd w:fill="CCEEFF" w:val="clear"/>
            <w:vAlign w:val="center"/>
          </w:tcPr>
          <w:p>
            <w:pPr>
              <w:pStyle w:val="TableContents"/>
              <w:bidi w:val="0"/>
              <w:spacing w:before="0" w:after="283"/>
              <w:jc w:val="left"/>
              <w:rPr/>
            </w:pPr>
            <w:r>
              <w:rPr/>
              <w:t> </w:t>
            </w:r>
          </w:p>
        </w:tc>
        <w:tc>
          <w:tcPr>
            <w:tcW w:w="295"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80" w:type="dxa"/>
            <w:tcBorders>
              <w:bottom w:val="double" w:sz="6" w:space="0" w:color="000000"/>
            </w:tcBorders>
            <w:shd w:fill="CCEEFF" w:val="clear"/>
            <w:tcMar>
              <w:bottom w:w="28" w:type="dxa"/>
            </w:tcMar>
            <w:vAlign w:val="center"/>
          </w:tcPr>
          <w:p>
            <w:pPr>
              <w:pStyle w:val="TableContents"/>
              <w:bidi w:val="0"/>
              <w:spacing w:before="0" w:after="283"/>
              <w:jc w:val="right"/>
              <w:rPr/>
            </w:pPr>
            <w:r>
              <w:rPr/>
              <w:t>9,771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3"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32" w:type="dxa"/>
            <w:tcBorders>
              <w:bottom w:val="double" w:sz="6" w:space="0" w:color="000000"/>
            </w:tcBorders>
            <w:shd w:fill="CCEEFF" w:val="clear"/>
            <w:tcMar>
              <w:bottom w:w="28" w:type="dxa"/>
            </w:tcMar>
            <w:vAlign w:val="center"/>
          </w:tcPr>
          <w:p>
            <w:pPr>
              <w:pStyle w:val="TableContents"/>
              <w:bidi w:val="0"/>
              <w:spacing w:before="0" w:after="283"/>
              <w:jc w:val="right"/>
              <w:rPr/>
            </w:pPr>
            <w:r>
              <w:rPr/>
              <w:t>2,052</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0"/>
        <w:gridCol w:w="9967"/>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bookmarkStart w:id="572" w:name="xdx_F02_zQmr7MfnUtWe"/>
            <w:bookmarkEnd w:id="572"/>
            <w:r>
              <w:rPr>
                <w:rFonts w:ascii="Times New Roman;Times;Serif" w:hAnsi="Times New Roman;Times;Serif"/>
                <w:b w:val="false"/>
                <w:i w:val="false"/>
                <w:caps w:val="false"/>
                <w:smallCaps w:val="false"/>
                <w:sz w:val="20"/>
              </w:rPr>
              <w:t>(1)</w:t>
            </w:r>
          </w:p>
        </w:tc>
        <w:tc>
          <w:tcPr>
            <w:tcW w:w="996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bookmarkStart w:id="573" w:name="xdx_F18_z9KcMn5yFNH3"/>
            <w:bookmarkEnd w:id="573"/>
            <w:r>
              <w:rPr>
                <w:rFonts w:ascii="Times New Roman;Times;Serif" w:hAnsi="Times New Roman;Times;Serif"/>
                <w:b w:val="false"/>
                <w:i w:val="false"/>
                <w:caps w:val="false"/>
                <w:smallCaps w:val="false"/>
                <w:sz w:val="20"/>
              </w:rPr>
              <w:t>On August 27, 2025, the Company entered into a premium finance agreement for the policy period beginning August 3, 2025. The total premium was $</w:t>
            </w:r>
            <w:bookmarkStart w:id="574" w:name="xdx_902_eus-gaap--AccountsPayableCurrent"/>
            <w:bookmarkEnd w:id="574"/>
            <w:r>
              <w:rPr>
                <w:rFonts w:ascii="Times New Roman;Times;Serif" w:hAnsi="Times New Roman;Times;Serif"/>
                <w:b w:val="false"/>
                <w:i w:val="false"/>
                <w:caps w:val="false"/>
                <w:smallCaps w:val="false"/>
                <w:sz w:val="20"/>
              </w:rPr>
              <w:t>2,172,622, of which $</w:t>
            </w:r>
            <w:bookmarkStart w:id="575" w:name="xdx_900_eus-gaap--AccountsPayableOtherCu"/>
            <w:bookmarkEnd w:id="575"/>
            <w:r>
              <w:rPr>
                <w:rFonts w:ascii="Times New Roman;Times;Serif" w:hAnsi="Times New Roman;Times;Serif"/>
                <w:b w:val="false"/>
                <w:i w:val="false"/>
                <w:caps w:val="false"/>
                <w:smallCaps w:val="false"/>
                <w:sz w:val="20"/>
              </w:rPr>
              <w:t>544,242 was paid as a down payment and $</w:t>
            </w:r>
            <w:bookmarkStart w:id="576" w:name="xdx_909_eus-gaap--IncreaseDecreaseInOthe"/>
            <w:bookmarkEnd w:id="576"/>
            <w:r>
              <w:rPr>
                <w:rFonts w:ascii="Times New Roman;Times;Serif" w:hAnsi="Times New Roman;Times;Serif"/>
                <w:b w:val="false"/>
                <w:i w:val="false"/>
                <w:caps w:val="false"/>
                <w:smallCaps w:val="false"/>
                <w:sz w:val="20"/>
              </w:rPr>
              <w:t>1,628,380 was financed. The agreement includes a finance charge of $</w:t>
            </w:r>
            <w:bookmarkStart w:id="577" w:name="xdx_90A_eus-gaap--PaymentsToAcquireFinan"/>
            <w:bookmarkEnd w:id="577"/>
            <w:r>
              <w:rPr>
                <w:rFonts w:ascii="Times New Roman;Times;Serif" w:hAnsi="Times New Roman;Times;Serif"/>
                <w:b w:val="false"/>
                <w:i w:val="false"/>
                <w:caps w:val="false"/>
                <w:smallCaps w:val="false"/>
                <w:sz w:val="20"/>
              </w:rPr>
              <w:t>51,172, resulting in total payments of $</w:t>
            </w:r>
            <w:bookmarkStart w:id="578" w:name="xdx_904_eus-gaap--AccountsPayableOtherCu"/>
            <w:bookmarkEnd w:id="578"/>
            <w:r>
              <w:rPr>
                <w:rFonts w:ascii="Times New Roman;Times;Serif" w:hAnsi="Times New Roman;Times;Serif"/>
                <w:b w:val="false"/>
                <w:i w:val="false"/>
                <w:caps w:val="false"/>
                <w:smallCaps w:val="false"/>
                <w:sz w:val="20"/>
              </w:rPr>
              <w:t>1,679,552, payable in nine monthly installments of $</w:t>
            </w:r>
            <w:bookmarkStart w:id="579" w:name="xdx_902_ecustom--AccountsPayableMonthlyI"/>
            <w:bookmarkEnd w:id="579"/>
            <w:r>
              <w:rPr>
                <w:rFonts w:ascii="Times New Roman;Times;Serif" w:hAnsi="Times New Roman;Times;Serif"/>
                <w:b w:val="false"/>
                <w:i w:val="false"/>
                <w:caps w:val="false"/>
                <w:smallCaps w:val="false"/>
                <w:sz w:val="20"/>
              </w:rPr>
              <w:t xml:space="preserve">186,617 through May 2026 at an annual percentage rate of </w:t>
            </w:r>
            <w:bookmarkStart w:id="580" w:name="xdx_90B_ecustom--AnnualPercentageRate_iI"/>
            <w:bookmarkEnd w:id="580"/>
            <w:r>
              <w:rPr>
                <w:rFonts w:ascii="Times New Roman;Times;Serif" w:hAnsi="Times New Roman;Times;Serif"/>
                <w:b w:val="false"/>
                <w:i w:val="false"/>
                <w:caps w:val="false"/>
                <w:smallCaps w:val="false"/>
                <w:sz w:val="20"/>
              </w:rPr>
              <w:t>7.48%.</w:t>
            </w:r>
          </w:p>
        </w:tc>
      </w:tr>
    </w:tbl>
    <w:p>
      <w:pPr>
        <w:pStyle w:val="TextBody"/>
        <w:bidi w:val="0"/>
        <w:spacing w:before="0" w:after="0"/>
        <w:ind w:left="720" w:right="0" w:hanging="0"/>
        <w:jc w:val="both"/>
        <w:rPr>
          <w:caps w:val="false"/>
          <w:smallCaps w:val="false"/>
        </w:rPr>
      </w:pPr>
      <w:bookmarkStart w:id="581" w:name="xdx_8A6_zOtBRP6onjej"/>
      <w:bookmarkEnd w:id="581"/>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financing obligation is secured by unearned premiums under the financed policies. As of September 30, 2025, the Company recorded prepaid insurance of approximately $</w:t>
      </w:r>
      <w:bookmarkStart w:id="582" w:name="xdx_90E_eus-gaap--PrepaidInsurance_iI_pn"/>
      <w:bookmarkEnd w:id="582"/>
      <w:r>
        <w:rPr>
          <w:rFonts w:ascii="Times New Roman;Times;Serif" w:hAnsi="Times New Roman;Times;Serif"/>
          <w:b w:val="false"/>
          <w:i w:val="false"/>
          <w:caps w:val="false"/>
          <w:smallCaps w:val="false"/>
          <w:sz w:val="20"/>
        </w:rPr>
        <w:t>1.99 million and AFCO loan payable of approximately $</w:t>
      </w:r>
      <w:bookmarkStart w:id="583" w:name="xdx_908_eus-gaap--LoansPayable_iI_pn4n6_"/>
      <w:bookmarkEnd w:id="583"/>
      <w:r>
        <w:rPr>
          <w:rFonts w:ascii="Times New Roman;Times;Serif" w:hAnsi="Times New Roman;Times;Serif"/>
          <w:b w:val="false"/>
          <w:i w:val="false"/>
          <w:caps w:val="false"/>
          <w:smallCaps w:val="false"/>
          <w:sz w:val="20"/>
        </w:rPr>
        <w:t>1.45 million. Prepaid insurance is amortized over the policy term, and the financing liability is reduced as payments are made. Interest expense is recognized using the effective interest method.</w:t>
      </w:r>
    </w:p>
    <w:p>
      <w:pPr>
        <w:pStyle w:val="TextBody"/>
        <w:bidi w:val="0"/>
        <w:spacing w:before="0" w:after="0"/>
        <w:ind w:left="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15</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STREAMEX CORP.</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THE CONDENSED CONSOLIDATED FINANCIAL STATEMENTS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SEPTEMBER 30, 2025 </w:t>
      </w:r>
      <w:r>
        <w:rPr>
          <w:rFonts w:ascii="Times New Roman;Times;Serif" w:hAnsi="Times New Roman;Times;Serif"/>
          <w:b/>
          <w:i/>
          <w:caps w:val="false"/>
          <w:smallCaps w:val="false"/>
          <w:sz w:val="20"/>
        </w:rPr>
        <w:t>(</w:t>
      </w:r>
      <w:r>
        <w:rPr>
          <w:rFonts w:ascii="Times New Roman;Times;Serif" w:hAnsi="Times New Roman;Times;Serif"/>
          <w:b/>
          <w:i w:val="false"/>
          <w:caps w:val="false"/>
          <w:smallCaps w:val="false"/>
          <w:sz w:val="20"/>
        </w:rPr>
        <w:t>Unaudited</w:t>
      </w:r>
      <w:r>
        <w:rPr>
          <w:rFonts w:ascii="Times New Roman;Times;Serif" w:hAnsi="Times New Roman;Times;Serif"/>
          <w:b/>
          <w:i/>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584" w:name="xdx_80C_eus-gaap--StockholdersEquityNote"/>
      <w:bookmarkEnd w:id="584"/>
      <w:r>
        <w:rPr>
          <w:rFonts w:ascii="Times New Roman;Times;Serif" w:hAnsi="Times New Roman;Times;Serif"/>
          <w:b/>
          <w:i w:val="false"/>
          <w:caps w:val="false"/>
          <w:smallCaps w:val="false"/>
          <w:sz w:val="20"/>
        </w:rPr>
        <w:t>NOTE 9</w:t>
      </w:r>
      <w:r>
        <w:rPr>
          <w:rFonts w:ascii="Times New Roman;Times;Serif" w:hAnsi="Times New Roman;Times;Serif"/>
          <w:b w:val="false"/>
          <w:i w:val="false"/>
          <w:caps w:val="false"/>
          <w:smallCaps w:val="false"/>
          <w:sz w:val="20"/>
        </w:rPr>
        <w:t xml:space="preserve"> – </w:t>
      </w:r>
      <w:bookmarkStart w:id="585" w:name="xdx_82E_ziLYsbL0CuCl"/>
      <w:bookmarkEnd w:id="585"/>
      <w:r>
        <w:rPr>
          <w:rFonts w:ascii="Times New Roman;Times;Serif" w:hAnsi="Times New Roman;Times;Serif"/>
          <w:b/>
          <w:i w:val="false"/>
          <w:caps w:val="false"/>
          <w:smallCaps w:val="false"/>
          <w:sz w:val="20"/>
        </w:rPr>
        <w:t>STOCKHOLDER EQUITY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Preferred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is authorized to issue </w:t>
      </w:r>
      <w:bookmarkStart w:id="586" w:name="xdx_905_eus-gaap--PreferredStockSharesAu"/>
      <w:bookmarkEnd w:id="586"/>
      <w:r>
        <w:rPr>
          <w:rFonts w:ascii="Times New Roman;Times;Serif" w:hAnsi="Times New Roman;Times;Serif"/>
          <w:b w:val="false"/>
          <w:i w:val="false"/>
          <w:caps w:val="false"/>
          <w:smallCaps w:val="false"/>
          <w:sz w:val="20"/>
        </w:rPr>
        <w:t>1,000,000 shares of $</w:t>
      </w:r>
      <w:bookmarkStart w:id="587" w:name="xdx_900_eus-gaap--PreferredStockParOrSta"/>
      <w:bookmarkEnd w:id="587"/>
      <w:r>
        <w:rPr>
          <w:rFonts w:ascii="Times New Roman;Times;Serif" w:hAnsi="Times New Roman;Times;Serif"/>
          <w:b w:val="false"/>
          <w:i w:val="false"/>
          <w:caps w:val="false"/>
          <w:smallCaps w:val="false"/>
          <w:sz w:val="20"/>
        </w:rPr>
        <w:t>0.001 par value preferred stock. As of September 30, 2025 and December 31, 2024, the Company has designated</w:t>
      </w:r>
      <w:bookmarkStart w:id="588" w:name="xdx_90B_eus-gaap--PreferredStockSharesAu"/>
      <w:bookmarkEnd w:id="588"/>
      <w:r>
        <w:rPr>
          <w:rFonts w:ascii="Times New Roman;Times;Serif" w:hAnsi="Times New Roman;Times;Serif"/>
          <w:b w:val="false"/>
          <w:i w:val="false"/>
          <w:caps w:val="false"/>
          <w:smallCaps w:val="false"/>
          <w:sz w:val="20"/>
        </w:rPr>
        <w:t xml:space="preserve"> </w:t>
      </w:r>
      <w:bookmarkStart w:id="589" w:name="xdx_900_eus-gaap--PreferredStockSharesAu"/>
      <w:bookmarkEnd w:id="589"/>
      <w:r>
        <w:rPr>
          <w:rFonts w:ascii="Times New Roman;Times;Serif" w:hAnsi="Times New Roman;Times;Serif"/>
          <w:b w:val="false"/>
          <w:i w:val="false"/>
          <w:caps w:val="false"/>
          <w:smallCaps w:val="false"/>
          <w:sz w:val="20"/>
        </w:rPr>
        <w:t xml:space="preserve">200 shares of Series A preferred stock, </w:t>
      </w:r>
      <w:bookmarkStart w:id="590" w:name="xdx_902_eus-gaap--PreferredStockSharesAu"/>
      <w:bookmarkStart w:id="591" w:name="xdx_909_eus-gaap--PreferredStockSharesAu"/>
      <w:bookmarkEnd w:id="590"/>
      <w:bookmarkEnd w:id="591"/>
      <w:r>
        <w:rPr>
          <w:rFonts w:ascii="Times New Roman;Times;Serif" w:hAnsi="Times New Roman;Times;Serif"/>
          <w:b w:val="false"/>
          <w:i w:val="false"/>
          <w:caps w:val="false"/>
          <w:smallCaps w:val="false"/>
          <w:sz w:val="20"/>
        </w:rPr>
        <w:t xml:space="preserve">600 shares of Series B preferred stock, </w:t>
      </w:r>
      <w:bookmarkStart w:id="592" w:name="xdx_908_eus-gaap--PreferredStockSharesAu"/>
      <w:bookmarkStart w:id="593" w:name="xdx_90A_eus-gaap--PreferredStockSharesAu"/>
      <w:bookmarkEnd w:id="592"/>
      <w:bookmarkEnd w:id="593"/>
      <w:r>
        <w:rPr>
          <w:rFonts w:ascii="Times New Roman;Times;Serif" w:hAnsi="Times New Roman;Times;Serif"/>
          <w:b w:val="false"/>
          <w:i w:val="false"/>
          <w:caps w:val="false"/>
          <w:smallCaps w:val="false"/>
          <w:sz w:val="20"/>
        </w:rPr>
        <w:t xml:space="preserve">4,200 shares of Series C Preferred Stock, </w:t>
      </w:r>
      <w:bookmarkStart w:id="594" w:name="xdx_900_eus-gaap--PreferredStockSharesAu"/>
      <w:bookmarkStart w:id="595" w:name="xdx_906_eus-gaap--PreferredStockSharesAu"/>
      <w:bookmarkEnd w:id="594"/>
      <w:bookmarkEnd w:id="595"/>
      <w:r>
        <w:rPr>
          <w:rFonts w:ascii="Times New Roman;Times;Serif" w:hAnsi="Times New Roman;Times;Serif"/>
          <w:b w:val="false"/>
          <w:i w:val="false"/>
          <w:caps w:val="false"/>
          <w:smallCaps w:val="false"/>
          <w:sz w:val="20"/>
        </w:rPr>
        <w:t xml:space="preserve">1,400 shares of Series D Preferred Stock, </w:t>
      </w:r>
      <w:bookmarkStart w:id="596" w:name="xdx_906_eus-gaap--PreferredStockSharesAu"/>
      <w:bookmarkStart w:id="597" w:name="xdx_904_eus-gaap--PreferredStockSharesAu"/>
      <w:bookmarkEnd w:id="596"/>
      <w:bookmarkEnd w:id="597"/>
      <w:r>
        <w:rPr>
          <w:rFonts w:ascii="Times New Roman;Times;Serif" w:hAnsi="Times New Roman;Times;Serif"/>
          <w:b w:val="false"/>
          <w:i w:val="false"/>
          <w:caps w:val="false"/>
          <w:smallCaps w:val="false"/>
          <w:sz w:val="20"/>
        </w:rPr>
        <w:t xml:space="preserve">1,000 shares of Series E Preferred Stock and </w:t>
      </w:r>
      <w:bookmarkStart w:id="598" w:name="xdx_902_eus-gaap--PreferredStockSharesAu"/>
      <w:bookmarkStart w:id="599" w:name="xdx_902_eus-gaap--PreferredStockSharesAu"/>
      <w:bookmarkEnd w:id="598"/>
      <w:bookmarkEnd w:id="599"/>
      <w:r>
        <w:rPr>
          <w:rFonts w:ascii="Times New Roman;Times;Serif" w:hAnsi="Times New Roman;Times;Serif"/>
          <w:b w:val="false"/>
          <w:i w:val="false"/>
          <w:caps w:val="false"/>
          <w:smallCaps w:val="false"/>
          <w:sz w:val="20"/>
        </w:rPr>
        <w:t>200,000 shares of Series F Preferred Stock. As of September 30, 2025 and December 31, 2024, there were no issued or outstanding shares of Series A, Series B, Series D, Series E and Series F preferred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Series C Preferred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Series C Preferred Stock (“Series C”) issued and outstanding totaled </w:t>
      </w:r>
      <w:bookmarkStart w:id="600" w:name="xdx_90B_eus-gaap--PreferredStockSharesOu"/>
      <w:bookmarkStart w:id="601" w:name="xdx_905_eus-gaap--PreferredStockSharesIs"/>
      <w:bookmarkStart w:id="602" w:name="xdx_901_eus-gaap--PreferredStockSharesOu"/>
      <w:bookmarkStart w:id="603" w:name="xdx_904_eus-gaap--PreferredStockSharesIs"/>
      <w:bookmarkEnd w:id="600"/>
      <w:bookmarkEnd w:id="601"/>
      <w:bookmarkEnd w:id="602"/>
      <w:bookmarkEnd w:id="603"/>
      <w:r>
        <w:rPr>
          <w:rFonts w:ascii="Times New Roman;Times;Serif" w:hAnsi="Times New Roman;Times;Serif"/>
          <w:b w:val="false"/>
          <w:i w:val="false"/>
          <w:caps w:val="false"/>
          <w:smallCaps w:val="false"/>
          <w:sz w:val="20"/>
        </w:rPr>
        <w:t>105 shares as of September 30, 2025, and December 31, 2024. As of September 30, 2025, and December 31, 2024, the Company has accrued $</w:t>
      </w:r>
      <w:bookmarkStart w:id="604" w:name="xdx_907_eus-gaap--DividendsPayableCurren"/>
      <w:bookmarkEnd w:id="604"/>
      <w:r>
        <w:rPr>
          <w:rFonts w:ascii="Times New Roman;Times;Serif" w:hAnsi="Times New Roman;Times;Serif"/>
          <w:b w:val="false"/>
          <w:i w:val="false"/>
          <w:caps w:val="false"/>
          <w:smallCaps w:val="false"/>
          <w:sz w:val="20"/>
        </w:rPr>
        <w:t>117,111 and $</w:t>
      </w:r>
      <w:bookmarkStart w:id="605" w:name="xdx_906_eus-gaap--DividendsPayableCurren"/>
      <w:bookmarkEnd w:id="605"/>
      <w:r>
        <w:rPr>
          <w:rFonts w:ascii="Times New Roman;Times;Serif" w:hAnsi="Times New Roman;Times;Serif"/>
          <w:b w:val="false"/>
          <w:i w:val="false"/>
          <w:caps w:val="false"/>
          <w:smallCaps w:val="false"/>
          <w:sz w:val="20"/>
        </w:rPr>
        <w:t>110,042 dividends payable on the Series C, respectively. As of September 30, 2025, and December 31, 2024, the cumulative dividend per share payable on the Series C was approximately $</w:t>
      </w:r>
      <w:bookmarkStart w:id="606" w:name="xdx_906_ecustom--CumulativeDividendsPaya"/>
      <w:bookmarkEnd w:id="606"/>
      <w:r>
        <w:rPr>
          <w:rFonts w:ascii="Times New Roman;Times;Serif" w:hAnsi="Times New Roman;Times;Serif"/>
          <w:b w:val="false"/>
          <w:i w:val="false"/>
          <w:caps w:val="false"/>
          <w:smallCaps w:val="false"/>
          <w:sz w:val="20"/>
        </w:rPr>
        <w:t>1,115 and $</w:t>
      </w:r>
      <w:bookmarkStart w:id="607" w:name="xdx_902_ecustom--CumulativeDividendsPaya"/>
      <w:bookmarkEnd w:id="607"/>
      <w:r>
        <w:rPr>
          <w:rFonts w:ascii="Times New Roman;Times;Serif" w:hAnsi="Times New Roman;Times;Serif"/>
          <w:b w:val="false"/>
          <w:i w:val="false"/>
          <w:caps w:val="false"/>
          <w:smallCaps w:val="false"/>
          <w:sz w:val="20"/>
        </w:rPr>
        <w:t>1,048,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share of Series C is convertible at the holder’s option into shares of common stock at a conversion price of $0.3197 per share, based on the stated value of $</w:t>
      </w:r>
      <w:bookmarkStart w:id="608" w:name="xdx_902_eus-gaap--SharesIssuedPricePerSh"/>
      <w:bookmarkEnd w:id="608"/>
      <w:r>
        <w:rPr>
          <w:rFonts w:ascii="Times New Roman;Times;Serif" w:hAnsi="Times New Roman;Times;Serif"/>
          <w:b w:val="false"/>
          <w:i w:val="false"/>
          <w:caps w:val="false"/>
          <w:smallCaps w:val="false"/>
          <w:sz w:val="20"/>
        </w:rPr>
        <w:t xml:space="preserve">1,000 per preferred share. As of September 30, 2025, the outstanding Series C shares were convertible into an aggregate of </w:t>
      </w:r>
      <w:bookmarkStart w:id="609" w:name="xdx_902_eus-gaap--ConversionOfStockShare"/>
      <w:bookmarkEnd w:id="609"/>
      <w:r>
        <w:rPr>
          <w:rFonts w:ascii="Times New Roman;Times;Serif" w:hAnsi="Times New Roman;Times;Serif"/>
          <w:b w:val="false"/>
          <w:i w:val="false"/>
          <w:caps w:val="false"/>
          <w:smallCaps w:val="false"/>
          <w:sz w:val="20"/>
        </w:rPr>
        <w:t xml:space="preserve">352,171 shares of common stock, which includes </w:t>
      </w:r>
      <w:bookmarkStart w:id="610" w:name="xdx_901_eus-gaap--StockIssuedDuringPerio"/>
      <w:bookmarkEnd w:id="610"/>
      <w:r>
        <w:rPr>
          <w:rFonts w:ascii="Times New Roman;Times;Serif" w:hAnsi="Times New Roman;Times;Serif"/>
          <w:b w:val="false"/>
          <w:i w:val="false"/>
          <w:caps w:val="false"/>
          <w:smallCaps w:val="false"/>
          <w:sz w:val="20"/>
        </w:rPr>
        <w:t>23,738 shares issuable for accrued dividends at a conversion rate of $</w:t>
      </w:r>
      <w:bookmarkStart w:id="611" w:name="xdx_905_eus-gaap--PreferredStockConverti"/>
      <w:bookmarkEnd w:id="611"/>
      <w:r>
        <w:rPr>
          <w:rFonts w:ascii="Times New Roman;Times;Serif" w:hAnsi="Times New Roman;Times;Serif"/>
          <w:b w:val="false"/>
          <w:i w:val="false"/>
          <w:caps w:val="false"/>
          <w:smallCaps w:val="false"/>
          <w:sz w:val="20"/>
        </w:rPr>
        <w:t>4.9989 per share. The Series C is subject to full ratchet anti-dilution price protection upon issuance of equity or equity-linked securities at an effective price below $</w:t>
      </w:r>
      <w:bookmarkStart w:id="612" w:name="xdx_903_ecustom--PreferredStockConvertib"/>
      <w:bookmarkEnd w:id="612"/>
      <w:r>
        <w:rPr>
          <w:rFonts w:ascii="Times New Roman;Times;Serif" w:hAnsi="Times New Roman;Times;Serif"/>
          <w:b w:val="false"/>
          <w:i w:val="false"/>
          <w:caps w:val="false"/>
          <w:smallCaps w:val="false"/>
          <w:sz w:val="20"/>
        </w:rPr>
        <w:t>0.3197 per share, as well as customary anti-dilution adjustments for stock splits and similar events.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Series C ranks senior to common stock and all other equity securities with respect to dividends and liquidation. In the event of liquidation, holders are entitled to receive the stated value plus accrued but unpaid dividends and any other amounts due. The Series C becomes redeemable at a premium or subject to an increased dividend rate of 18% upon the occurrence of certain events, including but not limited to:</w:t>
      </w:r>
    </w:p>
    <w:p>
      <w:pPr>
        <w:pStyle w:val="TextBody"/>
        <w:bidi w:val="0"/>
        <w:spacing w:before="0" w:after="0"/>
        <w:ind w:left="0" w:right="0" w:hanging="0"/>
        <w:jc w:val="both"/>
        <w:rPr>
          <w:caps w:val="false"/>
          <w:smallCaps w:val="false"/>
        </w:rPr>
      </w:pPr>
      <w:r>
        <w:rPr>
          <w:caps w:val="false"/>
          <w:smallCaps w:val="false"/>
        </w:rPr>
        <w:t> </w:t>
      </w:r>
    </w:p>
    <w:tbl>
      <w:tblPr>
        <w:tblW w:w="7578" w:type="dxa"/>
        <w:jc w:val="left"/>
        <w:tblInd w:w="0" w:type="dxa"/>
        <w:tblLayout w:type="fixed"/>
        <w:tblCellMar>
          <w:top w:w="0" w:type="dxa"/>
          <w:left w:w="0" w:type="dxa"/>
          <w:bottom w:w="0" w:type="dxa"/>
          <w:right w:w="0" w:type="dxa"/>
        </w:tblCellMar>
      </w:tblPr>
      <w:tblGrid>
        <w:gridCol w:w="38"/>
        <w:gridCol w:w="170"/>
        <w:gridCol w:w="737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370" w:type="dxa"/>
            <w:tcBorders/>
            <w:vAlign w:val="center"/>
          </w:tcPr>
          <w:p>
            <w:pPr>
              <w:pStyle w:val="TableContents"/>
              <w:bidi w:val="0"/>
              <w:spacing w:before="0" w:after="283"/>
              <w:jc w:val="both"/>
              <w:rPr/>
            </w:pPr>
            <w:r>
              <w:rPr/>
              <w:t>failure to deliver common stock upon conversion within specified timeframes,</w:t>
            </w:r>
          </w:p>
        </w:tc>
      </w:tr>
    </w:tbl>
    <w:tbl>
      <w:tblPr>
        <w:tblW w:w="4983" w:type="dxa"/>
        <w:jc w:val="left"/>
        <w:tblInd w:w="0" w:type="dxa"/>
        <w:tblLayout w:type="fixed"/>
        <w:tblCellMar>
          <w:top w:w="0" w:type="dxa"/>
          <w:left w:w="0" w:type="dxa"/>
          <w:bottom w:w="0" w:type="dxa"/>
          <w:right w:w="0" w:type="dxa"/>
        </w:tblCellMar>
      </w:tblPr>
      <w:tblGrid>
        <w:gridCol w:w="38"/>
        <w:gridCol w:w="170"/>
        <w:gridCol w:w="477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775" w:type="dxa"/>
            <w:tcBorders/>
            <w:vAlign w:val="center"/>
          </w:tcPr>
          <w:p>
            <w:pPr>
              <w:pStyle w:val="TableContents"/>
              <w:bidi w:val="0"/>
              <w:spacing w:before="0" w:after="283"/>
              <w:jc w:val="both"/>
              <w:rPr/>
            </w:pPr>
            <w:r>
              <w:rPr/>
              <w:t>failure to pay cash amounts due upon such failure,</w:t>
            </w:r>
          </w:p>
        </w:tc>
      </w:tr>
    </w:tbl>
    <w:tbl>
      <w:tblPr>
        <w:tblW w:w="5088" w:type="dxa"/>
        <w:jc w:val="left"/>
        <w:tblInd w:w="0" w:type="dxa"/>
        <w:tblLayout w:type="fixed"/>
        <w:tblCellMar>
          <w:top w:w="0" w:type="dxa"/>
          <w:left w:w="0" w:type="dxa"/>
          <w:bottom w:w="0" w:type="dxa"/>
          <w:right w:w="0" w:type="dxa"/>
        </w:tblCellMar>
      </w:tblPr>
      <w:tblGrid>
        <w:gridCol w:w="38"/>
        <w:gridCol w:w="170"/>
        <w:gridCol w:w="488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880" w:type="dxa"/>
            <w:tcBorders/>
            <w:vAlign w:val="center"/>
          </w:tcPr>
          <w:p>
            <w:pPr>
              <w:pStyle w:val="TableContents"/>
              <w:bidi w:val="0"/>
              <w:spacing w:before="0" w:after="283"/>
              <w:jc w:val="both"/>
              <w:rPr/>
            </w:pPr>
            <w:r>
              <w:rPr/>
              <w:t>insufficient authorized shares to honor conversions,</w:t>
            </w:r>
          </w:p>
        </w:tc>
      </w:tr>
    </w:tbl>
    <w:tbl>
      <w:tblPr>
        <w:tblW w:w="6273" w:type="dxa"/>
        <w:jc w:val="left"/>
        <w:tblInd w:w="0" w:type="dxa"/>
        <w:tblLayout w:type="fixed"/>
        <w:tblCellMar>
          <w:top w:w="0" w:type="dxa"/>
          <w:left w:w="0" w:type="dxa"/>
          <w:bottom w:w="0" w:type="dxa"/>
          <w:right w:w="0" w:type="dxa"/>
        </w:tblCellMar>
      </w:tblPr>
      <w:tblGrid>
        <w:gridCol w:w="38"/>
        <w:gridCol w:w="170"/>
        <w:gridCol w:w="606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065" w:type="dxa"/>
            <w:tcBorders/>
            <w:vAlign w:val="center"/>
          </w:tcPr>
          <w:p>
            <w:pPr>
              <w:pStyle w:val="TableContents"/>
              <w:bidi w:val="0"/>
              <w:spacing w:before="0" w:after="283"/>
              <w:jc w:val="both"/>
              <w:rPr/>
            </w:pPr>
            <w:r>
              <w:rPr/>
              <w:t>uncured material breaches of agreements related to the Series C,</w:t>
            </w:r>
          </w:p>
        </w:tc>
      </w:tr>
    </w:tbl>
    <w:tbl>
      <w:tblPr>
        <w:tblW w:w="3198" w:type="dxa"/>
        <w:jc w:val="left"/>
        <w:tblInd w:w="0" w:type="dxa"/>
        <w:tblLayout w:type="fixed"/>
        <w:tblCellMar>
          <w:top w:w="0" w:type="dxa"/>
          <w:left w:w="0" w:type="dxa"/>
          <w:bottom w:w="0" w:type="dxa"/>
          <w:right w:w="0" w:type="dxa"/>
        </w:tblCellMar>
      </w:tblPr>
      <w:tblGrid>
        <w:gridCol w:w="38"/>
        <w:gridCol w:w="170"/>
        <w:gridCol w:w="299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990" w:type="dxa"/>
            <w:tcBorders/>
            <w:vAlign w:val="center"/>
          </w:tcPr>
          <w:p>
            <w:pPr>
              <w:pStyle w:val="TableContents"/>
              <w:bidi w:val="0"/>
              <w:spacing w:before="0" w:after="283"/>
              <w:jc w:val="both"/>
              <w:rPr/>
            </w:pPr>
            <w:r>
              <w:rPr/>
              <w:t>a change of control transaction,</w:t>
            </w:r>
          </w:p>
        </w:tc>
      </w:tr>
    </w:tbl>
    <w:tbl>
      <w:tblPr>
        <w:tblW w:w="2958" w:type="dxa"/>
        <w:jc w:val="left"/>
        <w:tblInd w:w="0" w:type="dxa"/>
        <w:tblLayout w:type="fixed"/>
        <w:tblCellMar>
          <w:top w:w="0" w:type="dxa"/>
          <w:left w:w="0" w:type="dxa"/>
          <w:bottom w:w="0" w:type="dxa"/>
          <w:right w:w="0" w:type="dxa"/>
        </w:tblCellMar>
      </w:tblPr>
      <w:tblGrid>
        <w:gridCol w:w="38"/>
        <w:gridCol w:w="170"/>
        <w:gridCol w:w="275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750" w:type="dxa"/>
            <w:tcBorders/>
            <w:vAlign w:val="center"/>
          </w:tcPr>
          <w:p>
            <w:pPr>
              <w:pStyle w:val="TableContents"/>
              <w:bidi w:val="0"/>
              <w:spacing w:before="0" w:after="283"/>
              <w:jc w:val="both"/>
              <w:rPr/>
            </w:pPr>
            <w:r>
              <w:rPr/>
              <w:t>bankruptcy or insolvency, or</w:t>
            </w:r>
          </w:p>
        </w:tc>
      </w:tr>
    </w:tbl>
    <w:tbl>
      <w:tblPr>
        <w:tblW w:w="6483" w:type="dxa"/>
        <w:jc w:val="left"/>
        <w:tblInd w:w="0" w:type="dxa"/>
        <w:tblLayout w:type="fixed"/>
        <w:tblCellMar>
          <w:top w:w="0" w:type="dxa"/>
          <w:left w:w="0" w:type="dxa"/>
          <w:bottom w:w="0" w:type="dxa"/>
          <w:right w:w="0" w:type="dxa"/>
        </w:tblCellMar>
      </w:tblPr>
      <w:tblGrid>
        <w:gridCol w:w="38"/>
        <w:gridCol w:w="170"/>
        <w:gridCol w:w="627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275" w:type="dxa"/>
            <w:tcBorders/>
            <w:vAlign w:val="center"/>
          </w:tcPr>
          <w:p>
            <w:pPr>
              <w:pStyle w:val="TableContents"/>
              <w:bidi w:val="0"/>
              <w:spacing w:before="0" w:after="283"/>
              <w:jc w:val="both"/>
              <w:rPr/>
            </w:pPr>
            <w:r>
              <w:rPr/>
              <w:t>an unstayed judgment exceeding $</w:t>
            </w:r>
            <w:bookmarkStart w:id="613" w:name="xdx_907_ecustom--UnstayedJudgementAmount"/>
            <w:bookmarkEnd w:id="613"/>
            <w:r>
              <w:rPr/>
              <w:t>100,000 for more than 45 days.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September 5, 2025, the Company’s shareholders approved an amendment to the Company’s articles of incorporation that increased the amount of common stock authorized for issuance to </w:t>
      </w:r>
      <w:bookmarkStart w:id="614" w:name="xdx_901_eus-gaap--CommonStockSharesAutho"/>
      <w:bookmarkEnd w:id="614"/>
      <w:r>
        <w:rPr>
          <w:rFonts w:ascii="Times New Roman;Times;Serif" w:hAnsi="Times New Roman;Times;Serif"/>
          <w:b w:val="false"/>
          <w:i w:val="false"/>
          <w:caps w:val="false"/>
          <w:smallCaps w:val="false"/>
          <w:sz w:val="20"/>
        </w:rPr>
        <w:t>500,000,000 with a par value of $</w:t>
      </w:r>
      <w:bookmarkStart w:id="615" w:name="xdx_902_eus-gaap--CommonStockParOrStated"/>
      <w:bookmarkEnd w:id="615"/>
      <w:r>
        <w:rPr>
          <w:rFonts w:ascii="Times New Roman;Times;Serif" w:hAnsi="Times New Roman;Times;Serif"/>
          <w:b w:val="false"/>
          <w:i w:val="false"/>
          <w:caps w:val="false"/>
          <w:smallCaps w:val="false"/>
          <w:sz w:val="20"/>
        </w:rPr>
        <w:t>0.001 per share.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is authorized to issue </w:t>
      </w:r>
      <w:bookmarkStart w:id="616" w:name="xdx_904_eus-gaap--CommonStockSharesAutho"/>
      <w:bookmarkEnd w:id="616"/>
      <w:r>
        <w:rPr>
          <w:rFonts w:ascii="Times New Roman;Times;Serif" w:hAnsi="Times New Roman;Times;Serif"/>
          <w:b w:val="false"/>
          <w:i w:val="false"/>
          <w:caps w:val="false"/>
          <w:smallCaps w:val="false"/>
          <w:sz w:val="20"/>
        </w:rPr>
        <w:t>500,000,000 shares of $</w:t>
      </w:r>
      <w:bookmarkStart w:id="617" w:name="xdx_90C_eus-gaap--CommonStockParOrStated"/>
      <w:bookmarkEnd w:id="617"/>
      <w:r>
        <w:rPr>
          <w:rFonts w:ascii="Times New Roman;Times;Serif" w:hAnsi="Times New Roman;Times;Serif"/>
          <w:b w:val="false"/>
          <w:i w:val="false"/>
          <w:caps w:val="false"/>
          <w:smallCaps w:val="false"/>
          <w:sz w:val="20"/>
        </w:rPr>
        <w:t xml:space="preserve">0.001 par value common stock. As of September 30, 2025 and December 31, 2024, the Company had </w:t>
      </w:r>
      <w:bookmarkStart w:id="618" w:name="xdx_905_eus-gaap--CommonStockSharesOutst"/>
      <w:bookmarkStart w:id="619" w:name="xdx_904_eus-gaap--CommonStockSharesIssue"/>
      <w:bookmarkEnd w:id="618"/>
      <w:bookmarkEnd w:id="619"/>
      <w:r>
        <w:rPr>
          <w:rFonts w:ascii="Times New Roman;Times;Serif" w:hAnsi="Times New Roman;Times;Serif"/>
          <w:b w:val="false"/>
          <w:i w:val="false"/>
          <w:caps w:val="false"/>
          <w:smallCaps w:val="false"/>
          <w:sz w:val="20"/>
        </w:rPr>
        <w:t xml:space="preserve">35,462,204 and </w:t>
      </w:r>
      <w:bookmarkStart w:id="620" w:name="xdx_900_eus-gaap--CommonStockSharesOutst"/>
      <w:bookmarkStart w:id="621" w:name="xdx_900_eus-gaap--CommonStockSharesIssue"/>
      <w:bookmarkEnd w:id="620"/>
      <w:bookmarkEnd w:id="621"/>
      <w:r>
        <w:rPr>
          <w:rFonts w:ascii="Times New Roman;Times;Serif" w:hAnsi="Times New Roman;Times;Serif"/>
          <w:b w:val="false"/>
          <w:i w:val="false"/>
          <w:caps w:val="false"/>
          <w:smallCaps w:val="false"/>
          <w:sz w:val="20"/>
        </w:rPr>
        <w:t>17,239,096 shares issued and outstanding,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31, 2024, the Company filed a Reverse Stock Split Amendment with the Secretary of State of the State of Delaware, effective February 2, 2024. Pursuant to the Reverse Stock Split Amendment, the Company effected a</w:t>
      </w:r>
      <w:bookmarkStart w:id="622" w:name="xdx_908_eus-gaap--StockholdersEquityReve"/>
      <w:bookmarkEnd w:id="622"/>
      <w:r>
        <w:rPr>
          <w:rFonts w:ascii="Times New Roman;Times;Serif" w:hAnsi="Times New Roman;Times;Serif"/>
          <w:b w:val="false"/>
          <w:i w:val="false"/>
          <w:caps w:val="false"/>
          <w:smallCaps w:val="false"/>
          <w:sz w:val="20"/>
        </w:rPr>
        <w:t xml:space="preserve"> 1-for-10 reverse stock split of its issued and outstanding shares of common stock. The Company accounted for the reverse stock split on a retrospective basis pursuant to ASC 260, Earnings Per Share. All authorized, issued and outstanding common stock, common stock warrants, stock option awards, exercise prices and per share data have been adjusted in these unaudited condensed consolidated financial statements, on a retroactive basis, to reflect the reverse stock split for all periods presented. Authorized common and preferred stock was not adjusted because of the reverse stock split.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During the nine months ended September 30, 2024, the Company issued an aggregate of </w:t>
      </w:r>
      <w:bookmarkStart w:id="623" w:name="xdx_904_eus-gaap--StockIssuedDuringPerio"/>
      <w:bookmarkEnd w:id="623"/>
      <w:r>
        <w:rPr>
          <w:rFonts w:ascii="Times New Roman;Times;Serif" w:hAnsi="Times New Roman;Times;Serif"/>
          <w:b w:val="false"/>
          <w:i w:val="false"/>
          <w:caps w:val="false"/>
          <w:smallCaps w:val="false"/>
          <w:sz w:val="20"/>
        </w:rPr>
        <w:t>75,000 shares of common stock for the forgiveness of accounts payable at a fair value of $</w:t>
      </w:r>
      <w:bookmarkStart w:id="624" w:name="xdx_90A_ecustom--SettlementAndExtinguish"/>
      <w:bookmarkEnd w:id="624"/>
      <w:r>
        <w:rPr>
          <w:rFonts w:ascii="Times New Roman;Times;Serif" w:hAnsi="Times New Roman;Times;Serif"/>
          <w:b w:val="false"/>
          <w:i w:val="false"/>
          <w:caps w:val="false"/>
          <w:smallCaps w:val="false"/>
          <w:sz w:val="20"/>
        </w:rPr>
        <w:t>0.1 million.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During the nine months ended September 30, 2024, the Company issued an aggregate of </w:t>
      </w:r>
      <w:bookmarkStart w:id="625" w:name="xdx_90E_eus-gaap--StockIssuedDuringPerio"/>
      <w:bookmarkEnd w:id="625"/>
      <w:r>
        <w:rPr>
          <w:rFonts w:ascii="Times New Roman;Times;Serif" w:hAnsi="Times New Roman;Times;Serif"/>
          <w:b w:val="false"/>
          <w:i w:val="false"/>
          <w:caps w:val="false"/>
          <w:smallCaps w:val="false"/>
          <w:sz w:val="20"/>
        </w:rPr>
        <w:t>2,140,744 shares of common stock for services at a fair value of $</w:t>
      </w:r>
      <w:bookmarkStart w:id="626" w:name="xdx_90A_eus-gaap--StockIssuedDuringPerio"/>
      <w:bookmarkEnd w:id="626"/>
      <w:r>
        <w:rPr>
          <w:rFonts w:ascii="Times New Roman;Times;Serif" w:hAnsi="Times New Roman;Times;Serif"/>
          <w:b w:val="false"/>
          <w:i w:val="false"/>
          <w:caps w:val="false"/>
          <w:smallCaps w:val="false"/>
          <w:sz w:val="20"/>
        </w:rPr>
        <w:t>1.7 million.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During the nine months ended September 30, 2024, the Company issued an aggregate of </w:t>
      </w:r>
      <w:bookmarkStart w:id="627" w:name="xdx_90F_eus-gaap--StockIssuedDuringPerio"/>
      <w:bookmarkEnd w:id="627"/>
      <w:r>
        <w:rPr>
          <w:rFonts w:ascii="Times New Roman;Times;Serif" w:hAnsi="Times New Roman;Times;Serif"/>
          <w:b w:val="false"/>
          <w:i w:val="false"/>
          <w:caps w:val="false"/>
          <w:smallCaps w:val="false"/>
          <w:sz w:val="20"/>
        </w:rPr>
        <w:t>2,322,747 shares of common stock for vested restricted stock units.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During the nine months ended September 30, 2025, the Company issued an aggregate of </w:t>
      </w:r>
      <w:bookmarkStart w:id="628" w:name="xdx_909_eus-gaap--StockIssuedDuringPerio"/>
      <w:bookmarkEnd w:id="628"/>
      <w:r>
        <w:rPr>
          <w:rFonts w:ascii="Times New Roman;Times;Serif" w:hAnsi="Times New Roman;Times;Serif"/>
          <w:b w:val="false"/>
          <w:i w:val="false"/>
          <w:caps w:val="false"/>
          <w:smallCaps w:val="false"/>
          <w:sz w:val="20"/>
        </w:rPr>
        <w:t>5,236,922 shares of common stock for services at a fair value of $</w:t>
      </w:r>
      <w:bookmarkStart w:id="629" w:name="xdx_90D_eus-gaap--StockIssuedDuringPerio"/>
      <w:bookmarkEnd w:id="629"/>
      <w:r>
        <w:rPr>
          <w:rFonts w:ascii="Times New Roman;Times;Serif" w:hAnsi="Times New Roman;Times;Serif"/>
          <w:b w:val="false"/>
          <w:i w:val="false"/>
          <w:caps w:val="false"/>
          <w:smallCaps w:val="false"/>
          <w:sz w:val="20"/>
        </w:rPr>
        <w:t>7.4 million.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During the nine months ended September 30, 2025, the Company issued an aggregate of </w:t>
      </w:r>
      <w:bookmarkStart w:id="630" w:name="xdx_909_eus-gaap--StockIssuedDuringPerio"/>
      <w:bookmarkEnd w:id="630"/>
      <w:r>
        <w:rPr>
          <w:rFonts w:ascii="Times New Roman;Times;Serif" w:hAnsi="Times New Roman;Times;Serif"/>
          <w:b w:val="false"/>
          <w:i w:val="false"/>
          <w:caps w:val="false"/>
          <w:smallCaps w:val="false"/>
          <w:sz w:val="20"/>
        </w:rPr>
        <w:t>1,644,743 shares of common stock in exchange for</w:t>
      </w:r>
      <w:bookmarkStart w:id="631" w:name="xdx_909_eus-gaap--ShareBasedCompensation"/>
      <w:bookmarkEnd w:id="631"/>
      <w:r>
        <w:rPr>
          <w:rFonts w:ascii="Times New Roman;Times;Serif" w:hAnsi="Times New Roman;Times;Serif"/>
          <w:b w:val="false"/>
          <w:i w:val="false"/>
          <w:caps w:val="false"/>
          <w:smallCaps w:val="false"/>
          <w:sz w:val="20"/>
        </w:rPr>
        <w:t xml:space="preserve"> 2,357,377 warrants cashless exercised.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During the nine months ended September 30, 2025, the Company issued an aggregate of </w:t>
      </w:r>
      <w:bookmarkStart w:id="632" w:name="xdx_90B_eus-gaap--StockIssuedDuringPerio"/>
      <w:bookmarkEnd w:id="632"/>
      <w:r>
        <w:rPr>
          <w:rFonts w:ascii="Times New Roman;Times;Serif" w:hAnsi="Times New Roman;Times;Serif"/>
          <w:b w:val="false"/>
          <w:i w:val="false"/>
          <w:caps w:val="false"/>
          <w:smallCaps w:val="false"/>
          <w:sz w:val="20"/>
        </w:rPr>
        <w:t>135,000 restricted stock units for shares of its common stock for the settlement and extinguishment of accounts payable at a fair value of $</w:t>
      </w:r>
      <w:bookmarkStart w:id="633" w:name="xdx_90E_ecustom--SettlementAndExtinguish"/>
      <w:bookmarkEnd w:id="633"/>
      <w:r>
        <w:rPr>
          <w:rFonts w:ascii="Times New Roman;Times;Serif" w:hAnsi="Times New Roman;Times;Serif"/>
          <w:b w:val="false"/>
          <w:i w:val="false"/>
          <w:caps w:val="false"/>
          <w:smallCaps w:val="false"/>
          <w:sz w:val="20"/>
        </w:rPr>
        <w:t>0.2 million.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nine months ended September 30, 2025, the Company issued an aggregate of</w:t>
      </w:r>
      <w:bookmarkStart w:id="634" w:name="xdx_906_eus-gaap--StockIssuedDuringPerio"/>
      <w:bookmarkEnd w:id="634"/>
      <w:r>
        <w:rPr>
          <w:rFonts w:ascii="Times New Roman;Times;Serif" w:hAnsi="Times New Roman;Times;Serif"/>
          <w:b w:val="false"/>
          <w:i w:val="false"/>
          <w:caps w:val="false"/>
          <w:smallCaps w:val="false"/>
          <w:sz w:val="20"/>
        </w:rPr>
        <w:t xml:space="preserve"> 2,465,013 shares of common stock for vested restricted stock units.</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May 2, 2025, the Company cancelled an aggregate of </w:t>
      </w:r>
      <w:bookmarkStart w:id="635" w:name="xdx_906_ecustom--StockIssuedDuringPeriod"/>
      <w:bookmarkEnd w:id="635"/>
      <w:r>
        <w:rPr>
          <w:rFonts w:ascii="Times New Roman;Times;Serif" w:hAnsi="Times New Roman;Times;Serif"/>
          <w:b w:val="false"/>
          <w:i w:val="false"/>
          <w:caps w:val="false"/>
          <w:smallCaps w:val="false"/>
          <w:sz w:val="20"/>
        </w:rPr>
        <w:t xml:space="preserve">272,399 shares of its common stock, consisting of </w:t>
      </w:r>
      <w:bookmarkStart w:id="636" w:name="xdx_90C_ecustom--StockIssuedDuringPeriod"/>
      <w:bookmarkEnd w:id="636"/>
      <w:r>
        <w:rPr>
          <w:rFonts w:ascii="Times New Roman;Times;Serif" w:hAnsi="Times New Roman;Times;Serif"/>
          <w:b w:val="false"/>
          <w:i w:val="false"/>
          <w:caps w:val="false"/>
          <w:smallCaps w:val="false"/>
          <w:sz w:val="20"/>
        </w:rPr>
        <w:t xml:space="preserve">158,096 shares returned by the Company’s former Chief Executive Officer, Kenneth Londoner, and </w:t>
      </w:r>
      <w:bookmarkStart w:id="637" w:name="xdx_907_ecustom--StockIssuedDuringPeriod"/>
      <w:bookmarkEnd w:id="637"/>
      <w:r>
        <w:rPr>
          <w:rFonts w:ascii="Times New Roman;Times;Serif" w:hAnsi="Times New Roman;Times;Serif"/>
          <w:b w:val="false"/>
          <w:i w:val="false"/>
          <w:caps w:val="false"/>
          <w:smallCaps w:val="false"/>
          <w:sz w:val="20"/>
        </w:rPr>
        <w:t>114,303 shares returned by Endicott Management Partners LLC, an entity affiliated with Mr. Londoner. All cancelled shares were surrendered to the Company and retired, resulting in a reduction to the total number of issued and outstanding shares.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Exchangeable Shares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Exchangeable Shares issued by ExchangeCo in connection with the Acquisition are classified as derivative liabilities under ASC 815 – Derivatives and Hedging. Although legally issued by a Canadian subsidiary, the Exchangeable Shares are exchangeable into the Company’s common stock and include economic rights that are substantially similar to the Company’s common stock, including rights to dividends, liquidation preferences, and voting (via a Special Voting Preferred Stock held by a trustee), these rights are contingent upon stockholder approval.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right to exchange Exchangeable Shares into the Company’s common stock is not itself subject to shareholder approval. However, the exercise of certain rights—specifically, the ability to exchange into more than 19.99% of the Company’s outstanding common stock (the “NASDAQ 19.99% limitation”) and the receipt of special voting rights—are contingent upon shareholder approval. As a result, until shareholder approval is obtained and the 19.99% limitation is lifted, the instrument contains exercise contingencies that preclude equity classification under ASC 815-40.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NASDAQ 19.99% limitation is an exercise contingency that restricts the number of the Company’s common shares that can be issued upon exchange prior to shareholder approval. In addition, the Exchange Ratio is subject to adjustment from 1.00 to 1.25 the Company’s common shares for each Exchangeable Share if shareholder approval is not obtained within six months of issuance. These features, taken together, result in the instrument not qualifying for the ASC 815-10-15-74 scope exception and require classification as a liability.</w:t>
      </w:r>
    </w:p>
    <w:p>
      <w:pPr>
        <w:pStyle w:val="TextBody"/>
        <w:bidi w:val="0"/>
        <w:spacing w:before="0" w:after="0"/>
        <w:ind w:left="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16</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STREAMEX CORP.</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THE CONDENSED CONSOLIDATED FINANCIAL STATEMENTS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SEPTEMBER 30, 2025 </w:t>
      </w:r>
      <w:r>
        <w:rPr>
          <w:rFonts w:ascii="Times New Roman;Times;Serif" w:hAnsi="Times New Roman;Times;Serif"/>
          <w:b/>
          <w:i/>
          <w:caps w:val="false"/>
          <w:smallCaps w:val="false"/>
          <w:sz w:val="20"/>
        </w:rPr>
        <w:t>(</w:t>
      </w:r>
      <w:r>
        <w:rPr>
          <w:rFonts w:ascii="Times New Roman;Times;Serif" w:hAnsi="Times New Roman;Times;Serif"/>
          <w:b/>
          <w:i w:val="false"/>
          <w:caps w:val="false"/>
          <w:smallCaps w:val="false"/>
          <w:sz w:val="20"/>
        </w:rPr>
        <w:t>Unaudited</w:t>
      </w:r>
      <w:r>
        <w:rPr>
          <w:rFonts w:ascii="Times New Roman;Times;Serif" w:hAnsi="Times New Roman;Times;Serif"/>
          <w:b/>
          <w:i/>
          <w:caps w:val="false"/>
          <w:smallCaps w:val="false"/>
          <w:sz w:val="20"/>
        </w:rPr>
        <w: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Exchangeable Shares were initially recognized as a derivative liability at fair value, measured at $</w:t>
      </w:r>
      <w:bookmarkStart w:id="638" w:name="xdx_908_eus-gaap--DerivativeFairValueOfD"/>
      <w:bookmarkEnd w:id="638"/>
      <w:r>
        <w:rPr>
          <w:rFonts w:ascii="Times New Roman;Times;Serif" w:hAnsi="Times New Roman;Times;Serif"/>
          <w:b w:val="false"/>
          <w:i w:val="false"/>
          <w:caps w:val="false"/>
          <w:smallCaps w:val="false"/>
          <w:sz w:val="20"/>
        </w:rPr>
        <w:t>105.5 million as of the acquisition date. They are remeasured at fair value through earnings each reporting period for as long as the exercise contingencies—including the NASDAQ 19.99% limitation and the requirement for shareholder approval—remain unresolved. As of September 30, 2025, shareholder approval has not been obtained and the contingencies remain in place; therefore, the Exchangeable Shares continue to be classified as a liability. On November 4, 2025 the Company received shareholder approval. As a result, the conversion cap was removed, and Streamex Exchange shareholders may now convert their Exchangeable Shares into the Company’s common stock. Concurrently, the derivative liability associated with the Exchangeable Shares was reclassified to permanent equity.</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Sale of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January 12, 2024, the Company entered into a securities purchase agreement with certain accredited and institutional investors, pursuant to which the Company sold to the investors an aggregate of </w:t>
      </w:r>
      <w:bookmarkStart w:id="639" w:name="xdx_906_eus-gaap--SaleOfStockNumberOfSha"/>
      <w:bookmarkEnd w:id="639"/>
      <w:r>
        <w:rPr>
          <w:rFonts w:ascii="Times New Roman;Times;Serif" w:hAnsi="Times New Roman;Times;Serif"/>
          <w:b w:val="false"/>
          <w:i w:val="false"/>
          <w:caps w:val="false"/>
          <w:smallCaps w:val="false"/>
          <w:sz w:val="20"/>
        </w:rPr>
        <w:t xml:space="preserve">260,720 shares of the Company’s common stock and warrants to purchase up to </w:t>
      </w:r>
      <w:bookmarkStart w:id="640" w:name="xdx_90A_eus-gaap--ClassOfWarrantOrRightN"/>
      <w:bookmarkEnd w:id="640"/>
      <w:r>
        <w:rPr>
          <w:rFonts w:ascii="Times New Roman;Times;Serif" w:hAnsi="Times New Roman;Times;Serif"/>
          <w:b w:val="false"/>
          <w:i w:val="false"/>
          <w:caps w:val="false"/>
          <w:smallCaps w:val="false"/>
          <w:sz w:val="20"/>
        </w:rPr>
        <w:t>130,363 shares of common stock, at a purchase price of $</w:t>
      </w:r>
      <w:bookmarkStart w:id="641" w:name="xdx_905_ecustom--PurchasePriceOfWarrants"/>
      <w:bookmarkEnd w:id="641"/>
      <w:r>
        <w:rPr>
          <w:rFonts w:ascii="Times New Roman;Times;Serif" w:hAnsi="Times New Roman;Times;Serif"/>
          <w:b w:val="false"/>
          <w:i w:val="false"/>
          <w:caps w:val="false"/>
          <w:smallCaps w:val="false"/>
          <w:sz w:val="20"/>
        </w:rPr>
        <w:t>3.989 per share and a warrant to purchase one-half of a share. The warrants have an exercise price of $</w:t>
      </w:r>
      <w:bookmarkStart w:id="642" w:name="xdx_902_eus-gaap--ClassOfWarrantOrRightE"/>
      <w:bookmarkEnd w:id="642"/>
      <w:r>
        <w:rPr>
          <w:rFonts w:ascii="Times New Roman;Times;Serif" w:hAnsi="Times New Roman;Times;Serif"/>
          <w:b w:val="false"/>
          <w:i w:val="false"/>
          <w:caps w:val="false"/>
          <w:smallCaps w:val="false"/>
          <w:sz w:val="20"/>
        </w:rPr>
        <w:t>3.364 per share, will become exercisable six months after the date of issuance and will expire five and one-half years following the date of issuance. The gross proceeds from this offering were $</w:t>
      </w:r>
      <w:bookmarkStart w:id="643" w:name="xdx_901_eus-gaap--SaleOfStockConsiderati"/>
      <w:bookmarkEnd w:id="643"/>
      <w:r>
        <w:rPr>
          <w:rFonts w:ascii="Times New Roman;Times;Serif" w:hAnsi="Times New Roman;Times;Serif"/>
          <w:b w:val="false"/>
          <w:i w:val="false"/>
          <w:caps w:val="false"/>
          <w:smallCaps w:val="false"/>
          <w:sz w:val="20"/>
        </w:rPr>
        <w:t>1,040,000.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May 1, 2024, the Company entered into a securities purchase agreement with certain accredited investors, pursuant to which the Company sold to the investors an aggregate of </w:t>
      </w:r>
      <w:bookmarkStart w:id="644" w:name="xdx_901_eus-gaap--SaleOfStockNumberOfSha"/>
      <w:bookmarkEnd w:id="644"/>
      <w:r>
        <w:rPr>
          <w:rFonts w:ascii="Times New Roman;Times;Serif" w:hAnsi="Times New Roman;Times;Serif"/>
          <w:b w:val="false"/>
          <w:i w:val="false"/>
          <w:caps w:val="false"/>
          <w:smallCaps w:val="false"/>
          <w:sz w:val="20"/>
        </w:rPr>
        <w:t>783,406 shares of the Company’s common stock and warrants to purchase up to</w:t>
      </w:r>
      <w:bookmarkStart w:id="645" w:name="xdx_90B_eus-gaap--ClassOfWarrantOrRightN"/>
      <w:bookmarkEnd w:id="645"/>
      <w:r>
        <w:rPr>
          <w:rFonts w:ascii="Times New Roman;Times;Serif" w:hAnsi="Times New Roman;Times;Serif"/>
          <w:b w:val="false"/>
          <w:i w:val="false"/>
          <w:caps w:val="false"/>
          <w:smallCaps w:val="false"/>
          <w:sz w:val="20"/>
        </w:rPr>
        <w:t xml:space="preserve"> 391,703 shares of common stock, at a purchase price of $</w:t>
      </w:r>
      <w:bookmarkStart w:id="646" w:name="xdx_90A_eus-gaap--SaleOfStockPricePerSha"/>
      <w:bookmarkEnd w:id="646"/>
      <w:r>
        <w:rPr>
          <w:rFonts w:ascii="Times New Roman;Times;Serif" w:hAnsi="Times New Roman;Times;Serif"/>
          <w:b w:val="false"/>
          <w:i w:val="false"/>
          <w:caps w:val="false"/>
          <w:smallCaps w:val="false"/>
          <w:sz w:val="20"/>
        </w:rPr>
        <w:t>1.4605 per share and a warrant to purchase one-half of a share. The warrants have an exercise price of $</w:t>
      </w:r>
      <w:bookmarkStart w:id="647" w:name="xdx_901_eus-gaap--ClassOfWarrantOrRightE"/>
      <w:bookmarkEnd w:id="647"/>
      <w:r>
        <w:rPr>
          <w:rFonts w:ascii="Times New Roman;Times;Serif" w:hAnsi="Times New Roman;Times;Serif"/>
          <w:b w:val="false"/>
          <w:i w:val="false"/>
          <w:caps w:val="false"/>
          <w:smallCaps w:val="false"/>
          <w:sz w:val="20"/>
        </w:rPr>
        <w:t>1.398 per share, will become exercisable six months after the date of issuance, and will expire five and one-half years following the date of issuance. The gross proceeds from this offering were approximately $</w:t>
      </w:r>
      <w:bookmarkStart w:id="648" w:name="xdx_90E_eus-gaap--SaleOfStockConsiderati"/>
      <w:bookmarkEnd w:id="648"/>
      <w:r>
        <w:rPr>
          <w:rFonts w:ascii="Times New Roman;Times;Serif" w:hAnsi="Times New Roman;Times;Serif"/>
          <w:b w:val="false"/>
          <w:i w:val="false"/>
          <w:caps w:val="false"/>
          <w:smallCaps w:val="false"/>
          <w:sz w:val="20"/>
        </w:rPr>
        <w:t>1,144,000, including $</w:t>
      </w:r>
      <w:bookmarkStart w:id="649" w:name="xdx_90C_eus-gaap--Cash_iI_pid_c20240501_"/>
      <w:bookmarkEnd w:id="649"/>
      <w:r>
        <w:rPr>
          <w:rFonts w:ascii="Times New Roman;Times;Serif" w:hAnsi="Times New Roman;Times;Serif"/>
          <w:b w:val="false"/>
          <w:i w:val="false"/>
          <w:caps w:val="false"/>
          <w:smallCaps w:val="false"/>
          <w:sz w:val="20"/>
        </w:rPr>
        <w:t>634,999 in cash and $</w:t>
      </w:r>
      <w:bookmarkStart w:id="650" w:name="xdx_906_eus-gaap--DebtInstrumentIncrease"/>
      <w:bookmarkEnd w:id="650"/>
      <w:r>
        <w:rPr>
          <w:rFonts w:ascii="Times New Roman;Times;Serif" w:hAnsi="Times New Roman;Times;Serif"/>
          <w:b w:val="false"/>
          <w:i w:val="false"/>
          <w:caps w:val="false"/>
          <w:smallCaps w:val="false"/>
          <w:sz w:val="20"/>
        </w:rPr>
        <w:t>509,165 representing conversion of the principal balance of and accrued interest on the previously issued related party note payable. The note was not convertible by its terms, but the holder has agreed to convert it into shares of common stock and warrants under the Purchase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May 29, 2024, the Company entered into a securities purchase agreement with certain institutional investors, pursuant to which the Company agreed to sell and issue to the investors (i) in a registered direct offering, </w:t>
      </w:r>
      <w:bookmarkStart w:id="651" w:name="xdx_900_eus-gaap--SaleOfStockNumberOfSha"/>
      <w:bookmarkEnd w:id="651"/>
      <w:r>
        <w:rPr>
          <w:rFonts w:ascii="Times New Roman;Times;Serif" w:hAnsi="Times New Roman;Times;Serif"/>
          <w:b w:val="false"/>
          <w:i w:val="false"/>
          <w:caps w:val="false"/>
          <w:smallCaps w:val="false"/>
          <w:sz w:val="20"/>
        </w:rPr>
        <w:t>1,570,683 shares of Common Stock, par value $</w:t>
      </w:r>
      <w:bookmarkStart w:id="652" w:name="xdx_90B_eus-gaap--CommonStockParOrStated"/>
      <w:bookmarkEnd w:id="652"/>
      <w:r>
        <w:rPr>
          <w:rFonts w:ascii="Times New Roman;Times;Serif" w:hAnsi="Times New Roman;Times;Serif"/>
          <w:b w:val="false"/>
          <w:i w:val="false"/>
          <w:caps w:val="false"/>
          <w:smallCaps w:val="false"/>
          <w:sz w:val="20"/>
        </w:rPr>
        <w:t>0.001 per share of the Company at a price of $</w:t>
      </w:r>
      <w:bookmarkStart w:id="653" w:name="xdx_901_eus-gaap--SharesIssuedPricePerSh"/>
      <w:bookmarkEnd w:id="653"/>
      <w:r>
        <w:rPr>
          <w:rFonts w:ascii="Times New Roman;Times;Serif" w:hAnsi="Times New Roman;Times;Serif"/>
          <w:b w:val="false"/>
          <w:i w:val="false"/>
          <w:caps w:val="false"/>
          <w:smallCaps w:val="false"/>
          <w:sz w:val="20"/>
        </w:rPr>
        <w:t xml:space="preserve">1.91 per share and (ii) in a concurrent private placement, common stock purchase warrants to purchase up to an aggregate of </w:t>
      </w:r>
      <w:bookmarkStart w:id="654" w:name="xdx_900_eus-gaap--SaleOfStockNumberOfSha"/>
      <w:bookmarkEnd w:id="654"/>
      <w:r>
        <w:rPr>
          <w:rFonts w:ascii="Times New Roman;Times;Serif" w:hAnsi="Times New Roman;Times;Serif"/>
          <w:b w:val="false"/>
          <w:i w:val="false"/>
          <w:caps w:val="false"/>
          <w:smallCaps w:val="false"/>
          <w:sz w:val="20"/>
        </w:rPr>
        <w:t>1,570,683 shares of Common Stock, at an exercise price of $</w:t>
      </w:r>
      <w:bookmarkStart w:id="655" w:name="xdx_905_eus-gaap--SaleOfStockPricePerSha"/>
      <w:bookmarkEnd w:id="655"/>
      <w:r>
        <w:rPr>
          <w:rFonts w:ascii="Times New Roman;Times;Serif" w:hAnsi="Times New Roman;Times;Serif"/>
          <w:b w:val="false"/>
          <w:i w:val="false"/>
          <w:caps w:val="false"/>
          <w:smallCaps w:val="false"/>
          <w:sz w:val="20"/>
        </w:rPr>
        <w:t xml:space="preserve">1.78 per share of Common Stock. In connections with the Offering, the Company issued </w:t>
      </w:r>
      <w:bookmarkStart w:id="656" w:name="xdx_90D_eus-gaap--ClassOfWarrantOrRightO"/>
      <w:bookmarkEnd w:id="656"/>
      <w:r>
        <w:rPr>
          <w:rFonts w:ascii="Times New Roman;Times;Serif" w:hAnsi="Times New Roman;Times;Serif"/>
          <w:b w:val="false"/>
          <w:i w:val="false"/>
          <w:caps w:val="false"/>
          <w:smallCaps w:val="false"/>
          <w:sz w:val="20"/>
        </w:rPr>
        <w:t>109,948 warrants to its placement agent.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March 5, 2025, the Company entered into a securities purchase agreement with certain accredited investors pursuant to which the Company sold to the Investors an aggregate of </w:t>
      </w:r>
      <w:bookmarkStart w:id="657" w:name="xdx_909_eus-gaap--StockIssuedDuringPerio"/>
      <w:bookmarkEnd w:id="657"/>
      <w:r>
        <w:rPr>
          <w:rFonts w:ascii="Times New Roman;Times;Serif" w:hAnsi="Times New Roman;Times;Serif"/>
          <w:b w:val="false"/>
          <w:i w:val="false"/>
          <w:caps w:val="false"/>
          <w:smallCaps w:val="false"/>
          <w:sz w:val="20"/>
        </w:rPr>
        <w:t>758,514 shares Common Stock at a purchase price of $</w:t>
      </w:r>
      <w:bookmarkStart w:id="658" w:name="xdx_90E_eus-gaap--SharesIssuedPricePerSh"/>
      <w:bookmarkEnd w:id="658"/>
      <w:r>
        <w:rPr>
          <w:rFonts w:ascii="Times New Roman;Times;Serif" w:hAnsi="Times New Roman;Times;Serif"/>
          <w:b w:val="false"/>
          <w:i w:val="false"/>
          <w:caps w:val="false"/>
          <w:smallCaps w:val="false"/>
          <w:sz w:val="20"/>
        </w:rPr>
        <w:t>1.07974 per share, and warrants to purchase up to</w:t>
      </w:r>
      <w:bookmarkStart w:id="659" w:name="xdx_904_ecustom--ClassOfWarrantOrRightsG"/>
      <w:bookmarkEnd w:id="659"/>
      <w:r>
        <w:rPr>
          <w:rFonts w:ascii="Times New Roman;Times;Serif" w:hAnsi="Times New Roman;Times;Serif"/>
          <w:b w:val="false"/>
          <w:i w:val="false"/>
          <w:caps w:val="false"/>
          <w:smallCaps w:val="false"/>
          <w:sz w:val="20"/>
        </w:rPr>
        <w:t xml:space="preserve"> 758,514 shares of Common Stock at an exercise price of $</w:t>
      </w:r>
      <w:bookmarkStart w:id="660" w:name="xdx_90E_eus-gaap--ClassOfWarrantOrRightE"/>
      <w:bookmarkEnd w:id="660"/>
      <w:r>
        <w:rPr>
          <w:rFonts w:ascii="Times New Roman;Times;Serif" w:hAnsi="Times New Roman;Times;Serif"/>
          <w:b w:val="false"/>
          <w:i w:val="false"/>
          <w:caps w:val="false"/>
          <w:smallCaps w:val="false"/>
          <w:sz w:val="20"/>
        </w:rPr>
        <w:t>0.95474 per share, that will become exercisable six months after the date of issuance and will expire three and one-half years following the date of issuance, in exchange for aggregate consideration of $</w:t>
      </w:r>
      <w:bookmarkStart w:id="661" w:name="xdx_906_eus-gaap--ProceedsFromIssuanceOr"/>
      <w:bookmarkEnd w:id="661"/>
      <w:r>
        <w:rPr>
          <w:rFonts w:ascii="Times New Roman;Times;Serif" w:hAnsi="Times New Roman;Times;Serif"/>
          <w:b w:val="false"/>
          <w:i w:val="false"/>
          <w:caps w:val="false"/>
          <w:smallCaps w:val="false"/>
          <w:sz w:val="20"/>
        </w:rPr>
        <w:t>0.8 million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August 13, 2025, the Company entered into an underwriting agreement with certain accredited investors pursuant to which the Company sold an aggregate of </w:t>
      </w:r>
      <w:bookmarkStart w:id="662" w:name="xdx_905_eus-gaap--StockIssuedDuringPerio"/>
      <w:bookmarkEnd w:id="662"/>
      <w:r>
        <w:rPr>
          <w:rFonts w:ascii="Times New Roman;Times;Serif" w:hAnsi="Times New Roman;Times;Serif"/>
          <w:b w:val="false"/>
          <w:i w:val="false"/>
          <w:caps w:val="false"/>
          <w:smallCaps w:val="false"/>
          <w:sz w:val="20"/>
        </w:rPr>
        <w:t>3,852,149 shares of its common stock at a public offering price of $</w:t>
      </w:r>
      <w:bookmarkStart w:id="663" w:name="xdx_904_eus-gaap--SharesIssuedPricePerSh"/>
      <w:bookmarkEnd w:id="663"/>
      <w:r>
        <w:rPr>
          <w:rFonts w:ascii="Times New Roman;Times;Serif" w:hAnsi="Times New Roman;Times;Serif"/>
          <w:b w:val="false"/>
          <w:i w:val="false"/>
          <w:caps w:val="false"/>
          <w:smallCaps w:val="false"/>
          <w:sz w:val="20"/>
        </w:rPr>
        <w:t>3.90 per share. The offering closed on August 15, 2025, resulting in gross proceeds of approximately $</w:t>
      </w:r>
      <w:bookmarkStart w:id="664" w:name="xdx_907_eus-gaap--ProceedsFromOtherEquit"/>
      <w:bookmarkEnd w:id="664"/>
      <w:r>
        <w:rPr>
          <w:rFonts w:ascii="Times New Roman;Times;Serif" w:hAnsi="Times New Roman;Times;Serif"/>
          <w:b w:val="false"/>
          <w:i w:val="false"/>
          <w:caps w:val="false"/>
          <w:smallCaps w:val="false"/>
          <w:sz w:val="20"/>
        </w:rPr>
        <w:t>15.0 million. The Company incurred transaction costs of approximately $</w:t>
      </w:r>
      <w:bookmarkStart w:id="665" w:name="xdx_903_eus-gaap--OtherSellingGeneralAnd"/>
      <w:bookmarkEnd w:id="665"/>
      <w:r>
        <w:rPr>
          <w:rFonts w:ascii="Times New Roman;Times;Serif" w:hAnsi="Times New Roman;Times;Serif"/>
          <w:b w:val="false"/>
          <w:i w:val="false"/>
          <w:caps w:val="false"/>
          <w:smallCaps w:val="false"/>
          <w:sz w:val="20"/>
        </w:rPr>
        <w:t>1.45 million, including underwriting discounts, commissions, and other offering expenses, resulting in net proceeds of approximately $</w:t>
      </w:r>
      <w:bookmarkStart w:id="666" w:name="xdx_90B_ecustom--ProceedsFromOtherOfferi"/>
      <w:bookmarkEnd w:id="666"/>
      <w:r>
        <w:rPr>
          <w:rFonts w:ascii="Times New Roman;Times;Serif" w:hAnsi="Times New Roman;Times;Serif"/>
          <w:b w:val="false"/>
          <w:i w:val="false"/>
          <w:caps w:val="false"/>
          <w:smallCaps w:val="false"/>
          <w:sz w:val="20"/>
        </w:rPr>
        <w:t>13.6 million.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ATM Sales Agreement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18, 2024, the Company entered into an At The Market Offering Agreement (the “Sales Agreement”) with H.C. Wainwright &amp; Co., LLC, as sales agent or principal (the “Agent”), pursuant to which the Company may offer and sell, from time to time in transactions that are deemed to be “at the market” offerings as defined in Rule 415 under the Securities Act of 1933, as amended (the “Securities Act”), the Company’s common stock, par value $</w:t>
      </w:r>
      <w:bookmarkStart w:id="667" w:name="xdx_904_eus-gaap--CommonStockParOrStated"/>
      <w:bookmarkEnd w:id="667"/>
      <w:r>
        <w:rPr>
          <w:rFonts w:ascii="Times New Roman;Times;Serif" w:hAnsi="Times New Roman;Times;Serif"/>
          <w:b w:val="false"/>
          <w:i w:val="false"/>
          <w:caps w:val="false"/>
          <w:smallCaps w:val="false"/>
          <w:sz w:val="20"/>
        </w:rPr>
        <w:t>0.001 per share (“common stock”), through or to the Agent (the “ATM Offering”). The Sales Agreement, among other things, provides for the issuance and sale of up to an aggregate of $</w:t>
      </w:r>
      <w:bookmarkStart w:id="668" w:name="xdx_907_eus-gaap--StockIssuedDuringPerio"/>
      <w:bookmarkEnd w:id="668"/>
      <w:r>
        <w:rPr>
          <w:rFonts w:ascii="Times New Roman;Times;Serif" w:hAnsi="Times New Roman;Times;Serif"/>
          <w:b w:val="false"/>
          <w:i w:val="false"/>
          <w:caps w:val="false"/>
          <w:smallCaps w:val="false"/>
          <w:sz w:val="20"/>
        </w:rPr>
        <w:t>8,500,000 of shares of the Company’s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Shares are being offered and sold pursuant to the Company’s shelf registration statement on Form S-3 (File No. 333-276298) and an accompanying prospectus filed by the Company with the U.S. Securities and Exchange Commission (“SEC”) on December 28, 2023, as amended on January 5, 2024 and December 9, 2024, and declared effective by the SEC on December 17, 2024 (the “Registration Statement”) and pursuant to a prospectus supplement dated December 18,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During the nine months ended September 30, 2025, the Company sold an aggregate of </w:t>
      </w:r>
      <w:bookmarkStart w:id="669" w:name="xdx_90C_eus-gaap--StockIssuedDuringPerio"/>
      <w:bookmarkEnd w:id="669"/>
      <w:r>
        <w:rPr>
          <w:rFonts w:ascii="Times New Roman;Times;Serif" w:hAnsi="Times New Roman;Times;Serif"/>
          <w:b w:val="false"/>
          <w:i w:val="false"/>
          <w:caps w:val="false"/>
          <w:smallCaps w:val="false"/>
          <w:sz w:val="20"/>
        </w:rPr>
        <w:t>4,403,166 shares through the Company’s at the market offering agreement for gross proceeds of $</w:t>
      </w:r>
      <w:bookmarkStart w:id="670" w:name="xdx_905_eus-gaap--StockIssuedDuringPerio"/>
      <w:bookmarkEnd w:id="670"/>
      <w:r>
        <w:rPr>
          <w:rFonts w:ascii="Times New Roman;Times;Serif" w:hAnsi="Times New Roman;Times;Serif"/>
          <w:b w:val="false"/>
          <w:i w:val="false"/>
          <w:caps w:val="false"/>
          <w:smallCaps w:val="false"/>
          <w:sz w:val="20"/>
        </w:rPr>
        <w:t>4,019,063, or $</w:t>
      </w:r>
      <w:bookmarkStart w:id="671" w:name="xdx_90D_eus-gaap--StockIssuedDuringPerio"/>
      <w:bookmarkEnd w:id="671"/>
      <w:r>
        <w:rPr>
          <w:rFonts w:ascii="Times New Roman;Times;Serif" w:hAnsi="Times New Roman;Times;Serif"/>
          <w:b w:val="false"/>
          <w:i w:val="false"/>
          <w:caps w:val="false"/>
          <w:smallCaps w:val="false"/>
          <w:sz w:val="20"/>
        </w:rPr>
        <w:t>3,882,420 net of fees of $</w:t>
      </w:r>
      <w:bookmarkStart w:id="672" w:name="xdx_906_eus-gaap--SaleOfStockConsiderati"/>
      <w:bookmarkEnd w:id="672"/>
      <w:r>
        <w:rPr>
          <w:rFonts w:ascii="Times New Roman;Times;Serif" w:hAnsi="Times New Roman;Times;Serif"/>
          <w:b w:val="false"/>
          <w:i w:val="false"/>
          <w:caps w:val="false"/>
          <w:smallCaps w:val="false"/>
          <w:sz w:val="20"/>
        </w:rPr>
        <w:t>136,643.</w:t>
      </w:r>
    </w:p>
    <w:p>
      <w:pPr>
        <w:pStyle w:val="TextBody"/>
        <w:bidi w:val="0"/>
        <w:spacing w:before="0" w:after="0"/>
        <w:ind w:left="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17</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STREAMEX CORP.</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THE CONDENSED CONSOLIDATED FINANCIAL STATEMENTS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SEPTEMBER 30, 2025 </w:t>
      </w:r>
      <w:r>
        <w:rPr>
          <w:rFonts w:ascii="Times New Roman;Times;Serif" w:hAnsi="Times New Roman;Times;Serif"/>
          <w:b/>
          <w:i/>
          <w:caps w:val="false"/>
          <w:smallCaps w:val="false"/>
          <w:sz w:val="20"/>
        </w:rPr>
        <w:t>(</w:t>
      </w:r>
      <w:r>
        <w:rPr>
          <w:rFonts w:ascii="Times New Roman;Times;Serif" w:hAnsi="Times New Roman;Times;Serif"/>
          <w:b/>
          <w:i w:val="false"/>
          <w:caps w:val="false"/>
          <w:smallCaps w:val="false"/>
          <w:sz w:val="20"/>
        </w:rPr>
        <w:t>Unaudited</w:t>
      </w:r>
      <w:r>
        <w:rPr>
          <w:rFonts w:ascii="Times New Roman;Times;Serif" w:hAnsi="Times New Roman;Times;Serif"/>
          <w:b/>
          <w:i/>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673" w:name="xdx_80C_eus-gaap--ShareholdersEquityAndS"/>
      <w:bookmarkEnd w:id="673"/>
      <w:r>
        <w:rPr>
          <w:rFonts w:ascii="Times New Roman;Times;Serif" w:hAnsi="Times New Roman;Times;Serif"/>
          <w:b/>
          <w:i w:val="false"/>
          <w:caps w:val="false"/>
          <w:smallCaps w:val="false"/>
          <w:sz w:val="20"/>
        </w:rPr>
        <w:t>NOTE 10</w:t>
      </w:r>
      <w:r>
        <w:rPr>
          <w:rFonts w:ascii="Times New Roman;Times;Serif" w:hAnsi="Times New Roman;Times;Serif"/>
          <w:b w:val="false"/>
          <w:i w:val="false"/>
          <w:caps w:val="false"/>
          <w:smallCaps w:val="false"/>
          <w:sz w:val="20"/>
        </w:rPr>
        <w:t xml:space="preserve"> – </w:t>
      </w:r>
      <w:bookmarkStart w:id="674" w:name="xdx_821_zx1lsyDNrxvc"/>
      <w:bookmarkEnd w:id="674"/>
      <w:r>
        <w:rPr>
          <w:rFonts w:ascii="Times New Roman;Times;Serif" w:hAnsi="Times New Roman;Times;Serif"/>
          <w:b/>
          <w:i w:val="false"/>
          <w:caps w:val="false"/>
          <w:smallCaps w:val="false"/>
          <w:sz w:val="20"/>
        </w:rPr>
        <w:t>OPTIONS, RESTRICTED STOCK UNITS AND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Streamex Corp.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2023 Long-Term Incentive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Stockholders approved the Third Amendment to the Company’s 2023 Long-Term Incentive Plan (the “Incentive Plan Amendment”) on September 5, 2025, increasing the total number of shares authorized for issuance under the plan by </w:t>
      </w:r>
      <w:bookmarkStart w:id="675" w:name="xdx_90C_eus-gaap--StockIssuedDuringPerio"/>
      <w:bookmarkEnd w:id="675"/>
      <w:r>
        <w:rPr>
          <w:rFonts w:ascii="Times New Roman;Times;Serif" w:hAnsi="Times New Roman;Times;Serif"/>
          <w:b w:val="false"/>
          <w:i w:val="false"/>
          <w:caps w:val="false"/>
          <w:smallCaps w:val="false"/>
          <w:sz w:val="20"/>
        </w:rPr>
        <w:t xml:space="preserve">10,359,211 shares, from </w:t>
      </w:r>
      <w:bookmarkStart w:id="676" w:name="xdx_903_eus-gaap--CapitalUnitsAuthorized"/>
      <w:bookmarkEnd w:id="676"/>
      <w:r>
        <w:rPr>
          <w:rFonts w:ascii="Times New Roman;Times;Serif" w:hAnsi="Times New Roman;Times;Serif"/>
          <w:b w:val="false"/>
          <w:i w:val="false"/>
          <w:caps w:val="false"/>
          <w:smallCaps w:val="false"/>
          <w:sz w:val="20"/>
        </w:rPr>
        <w:t xml:space="preserve">4,376,595 shares to </w:t>
      </w:r>
      <w:bookmarkStart w:id="677" w:name="xdx_90A_eus-gaap--CapitalUnitsAuthorized"/>
      <w:bookmarkEnd w:id="677"/>
      <w:r>
        <w:rPr>
          <w:rFonts w:ascii="Times New Roman;Times;Serif" w:hAnsi="Times New Roman;Times;Serif"/>
          <w:b w:val="false"/>
          <w:i w:val="false"/>
          <w:caps w:val="false"/>
          <w:smallCaps w:val="false"/>
          <w:sz w:val="20"/>
        </w:rPr>
        <w:t xml:space="preserve">14,735,806 shares. As of September 30, 2025, there were </w:t>
      </w:r>
      <w:bookmarkStart w:id="678" w:name="xdx_907_eus-gaap--CommonStockCapitalShar"/>
      <w:bookmarkEnd w:id="678"/>
      <w:r>
        <w:rPr>
          <w:rFonts w:ascii="Times New Roman;Times;Serif" w:hAnsi="Times New Roman;Times;Serif"/>
          <w:b w:val="false"/>
          <w:i w:val="false"/>
          <w:caps w:val="false"/>
          <w:smallCaps w:val="false"/>
          <w:sz w:val="20"/>
        </w:rPr>
        <w:t>11,219,081 shares available under the 2023 Long-Term Incentive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Options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Option valuation models require the input of highly subjective assumptions. The fair value of stock-based payment awards was estimated using the Black-Scholes option model with a volatility figure derived from historical stock prices of the Company. The Company accounts for the expected life of options using the based on the contractual life of options for non-employees.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employees, the Company accounts for the expected life of options in accordance with the “simplified” method, which is used for “plain-vanilla” options, as defined in the accounting standards codification. The risk-free interest rate was determined from the implied yields of U.S. Treasury zero-coupon bonds with a remaining life consistent with the expected term of the options.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679" w:name="xdx_896_eus-gaap--ScheduleOfShareBasedCo"/>
      <w:bookmarkEnd w:id="679"/>
      <w:r>
        <w:rPr>
          <w:rFonts w:ascii="Times New Roman;Times;Serif" w:hAnsi="Times New Roman;Times;Serif"/>
          <w:b w:val="false"/>
          <w:i w:val="false"/>
          <w:caps w:val="false"/>
          <w:smallCaps w:val="false"/>
          <w:sz w:val="20"/>
        </w:rPr>
        <w:t>The following table presents information related to stock options as of September 30, 2025:</w:t>
      </w:r>
    </w:p>
    <w:p>
      <w:pPr>
        <w:pStyle w:val="TextBody"/>
        <w:bidi w:val="0"/>
        <w:spacing w:before="0" w:after="0"/>
        <w:ind w:left="0" w:right="0" w:hanging="0"/>
        <w:jc w:val="both"/>
        <w:rPr>
          <w:caps w:val="false"/>
          <w:smallCaps w:val="false"/>
        </w:rPr>
      </w:pPr>
      <w:r>
        <w:rPr>
          <w:caps w:val="false"/>
          <w:smallCaps w:val="false"/>
        </w:rPr>
        <w:t> </w:t>
      </w:r>
      <w:bookmarkStart w:id="680" w:name="xdx_8B8_z3Y3g2QUi8Ek"/>
      <w:bookmarkEnd w:id="680"/>
      <w:r>
        <w:rPr>
          <w:rFonts w:ascii="Times New Roman;Times;Serif" w:hAnsi="Times New Roman;Times;Serif"/>
          <w:b w:val="false"/>
          <w:i w:val="false"/>
          <w:caps w:val="false"/>
          <w:smallCaps w:val="false"/>
          <w:sz w:val="20"/>
        </w:rPr>
        <w:t>SCHEDULE OF EXERCISE PRICE OF STOCK OPTIONS</w:t>
      </w:r>
    </w:p>
    <w:tbl>
      <w:tblPr>
        <w:tblW w:w="6802" w:type="dxa"/>
        <w:jc w:val="left"/>
        <w:tblInd w:w="0" w:type="dxa"/>
        <w:tblLayout w:type="fixed"/>
        <w:tblCellMar>
          <w:top w:w="0" w:type="dxa"/>
          <w:left w:w="0" w:type="dxa"/>
          <w:bottom w:w="28" w:type="dxa"/>
          <w:right w:w="0" w:type="dxa"/>
        </w:tblCellMar>
      </w:tblPr>
      <w:tblGrid>
        <w:gridCol w:w="155"/>
        <w:gridCol w:w="60"/>
        <w:gridCol w:w="60"/>
        <w:gridCol w:w="1010"/>
        <w:gridCol w:w="60"/>
        <w:gridCol w:w="60"/>
        <w:gridCol w:w="65"/>
        <w:gridCol w:w="1064"/>
        <w:gridCol w:w="60"/>
        <w:gridCol w:w="60"/>
        <w:gridCol w:w="301"/>
        <w:gridCol w:w="1608"/>
        <w:gridCol w:w="60"/>
        <w:gridCol w:w="60"/>
        <w:gridCol w:w="116"/>
        <w:gridCol w:w="1928"/>
        <w:gridCol w:w="75"/>
      </w:tblGrid>
      <w:tr>
        <w:trPr/>
        <w:tc>
          <w:tcPr>
            <w:tcW w:w="4623" w:type="dxa"/>
            <w:gridSpan w:val="13"/>
            <w:tcBorders>
              <w:bottom w:val="single" w:sz="8" w:space="0" w:color="000000"/>
            </w:tcBorders>
            <w:vAlign w:val="center"/>
          </w:tcPr>
          <w:p>
            <w:pPr>
              <w:pStyle w:val="TableContents"/>
              <w:bidi w:val="0"/>
              <w:spacing w:before="0" w:after="283"/>
              <w:jc w:val="center"/>
              <w:rPr>
                <w:b/>
              </w:rPr>
            </w:pPr>
            <w:r>
              <w:rPr>
                <w:b/>
              </w:rPr>
              <w:t>Options Outstanding</w:t>
            </w:r>
          </w:p>
        </w:tc>
        <w:tc>
          <w:tcPr>
            <w:tcW w:w="60" w:type="dxa"/>
            <w:tcBorders/>
            <w:tcMar>
              <w:bottom w:w="0" w:type="dxa"/>
            </w:tcMar>
            <w:vAlign w:val="center"/>
          </w:tcPr>
          <w:p>
            <w:pPr>
              <w:pStyle w:val="TableContents"/>
              <w:bidi w:val="0"/>
              <w:spacing w:before="0" w:after="283"/>
              <w:jc w:val="left"/>
              <w:rPr/>
            </w:pPr>
            <w:r>
              <w:rPr/>
              <w:t> </w:t>
            </w:r>
          </w:p>
        </w:tc>
        <w:tc>
          <w:tcPr>
            <w:tcW w:w="2044" w:type="dxa"/>
            <w:gridSpan w:val="2"/>
            <w:tcBorders>
              <w:bottom w:val="single" w:sz="8" w:space="0" w:color="000000"/>
            </w:tcBorders>
            <w:vAlign w:val="center"/>
          </w:tcPr>
          <w:p>
            <w:pPr>
              <w:pStyle w:val="TableContents"/>
              <w:bidi w:val="0"/>
              <w:spacing w:before="0" w:after="283"/>
              <w:jc w:val="center"/>
              <w:rPr>
                <w:b/>
              </w:rPr>
            </w:pPr>
            <w:r>
              <w:rPr>
                <w:b/>
              </w:rPr>
              <w:t>Options Exercisable</w:t>
            </w:r>
          </w:p>
        </w:tc>
        <w:tc>
          <w:tcPr>
            <w:tcW w:w="75" w:type="dxa"/>
            <w:tcBorders/>
            <w:tcMar>
              <w:bottom w:w="0" w:type="dxa"/>
            </w:tcMar>
            <w:vAlign w:val="center"/>
          </w:tcPr>
          <w:p>
            <w:pPr>
              <w:pStyle w:val="TableContents"/>
              <w:bidi w:val="0"/>
              <w:spacing w:before="0" w:after="283"/>
              <w:jc w:val="left"/>
              <w:rPr/>
            </w:pPr>
            <w:r>
              <w:rPr/>
              <w:t> </w:t>
            </w:r>
          </w:p>
        </w:tc>
      </w:tr>
      <w:tr>
        <w:trPr/>
        <w:tc>
          <w:tcPr>
            <w:tcW w:w="1345" w:type="dxa"/>
            <w:gridSpan w:val="5"/>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1129" w:type="dxa"/>
            <w:gridSpan w:val="2"/>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909" w:type="dxa"/>
            <w:gridSpan w:val="2"/>
            <w:tcBorders/>
            <w:tcMar>
              <w:bottom w:w="0" w:type="dxa"/>
            </w:tcMar>
            <w:vAlign w:val="center"/>
          </w:tcPr>
          <w:p>
            <w:pPr>
              <w:pStyle w:val="TableContents"/>
              <w:bidi w:val="0"/>
              <w:spacing w:before="0" w:after="283"/>
              <w:jc w:val="center"/>
              <w:rPr>
                <w:b/>
              </w:rPr>
            </w:pPr>
            <w:r>
              <w:rPr>
                <w:b/>
              </w:rPr>
              <w:t>Weighted Average</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044" w:type="dxa"/>
            <w:gridSpan w:val="2"/>
            <w:tcBorders/>
            <w:tcMar>
              <w:bottom w:w="0" w:type="dxa"/>
            </w:tcMar>
            <w:vAlign w:val="center"/>
          </w:tcPr>
          <w:p>
            <w:pPr>
              <w:pStyle w:val="TableContents"/>
              <w:bidi w:val="0"/>
              <w:spacing w:before="0" w:after="283"/>
              <w:jc w:val="center"/>
              <w:rPr>
                <w:b/>
              </w:rPr>
            </w:pPr>
            <w:r>
              <w:rPr>
                <w:b/>
              </w:rPr>
              <w:t>Exercisable</w:t>
            </w:r>
          </w:p>
        </w:tc>
        <w:tc>
          <w:tcPr>
            <w:tcW w:w="75" w:type="dxa"/>
            <w:tcBorders/>
            <w:tcMar>
              <w:bottom w:w="0" w:type="dxa"/>
            </w:tcMar>
            <w:vAlign w:val="center"/>
          </w:tcPr>
          <w:p>
            <w:pPr>
              <w:pStyle w:val="TableContents"/>
              <w:bidi w:val="0"/>
              <w:spacing w:before="0" w:after="283"/>
              <w:jc w:val="left"/>
              <w:rPr/>
            </w:pPr>
            <w:r>
              <w:rPr/>
              <w:t> </w:t>
            </w:r>
          </w:p>
        </w:tc>
      </w:tr>
      <w:tr>
        <w:trPr/>
        <w:tc>
          <w:tcPr>
            <w:tcW w:w="1345" w:type="dxa"/>
            <w:gridSpan w:val="5"/>
            <w:tcBorders/>
            <w:tcMar>
              <w:bottom w:w="0" w:type="dxa"/>
            </w:tcMar>
            <w:vAlign w:val="center"/>
          </w:tcPr>
          <w:p>
            <w:pPr>
              <w:pStyle w:val="TableContents"/>
              <w:bidi w:val="0"/>
              <w:spacing w:before="0" w:after="283"/>
              <w:jc w:val="center"/>
              <w:rPr>
                <w:b/>
              </w:rPr>
            </w:pPr>
            <w:r>
              <w:rPr>
                <w:b/>
              </w:rPr>
              <w:t>Exercise</w:t>
            </w:r>
          </w:p>
        </w:tc>
        <w:tc>
          <w:tcPr>
            <w:tcW w:w="60" w:type="dxa"/>
            <w:tcBorders/>
            <w:tcMar>
              <w:bottom w:w="0" w:type="dxa"/>
            </w:tcMar>
            <w:vAlign w:val="center"/>
          </w:tcPr>
          <w:p>
            <w:pPr>
              <w:pStyle w:val="TableContents"/>
              <w:bidi w:val="0"/>
              <w:spacing w:before="0" w:after="283"/>
              <w:jc w:val="left"/>
              <w:rPr/>
            </w:pPr>
            <w:r>
              <w:rPr/>
              <w:t> </w:t>
            </w:r>
          </w:p>
        </w:tc>
        <w:tc>
          <w:tcPr>
            <w:tcW w:w="1129" w:type="dxa"/>
            <w:gridSpan w:val="2"/>
            <w:tcBorders/>
            <w:tcMar>
              <w:bottom w:w="0" w:type="dxa"/>
            </w:tcMar>
            <w:vAlign w:val="center"/>
          </w:tcPr>
          <w:p>
            <w:pPr>
              <w:pStyle w:val="TableContents"/>
              <w:bidi w:val="0"/>
              <w:spacing w:before="0" w:after="283"/>
              <w:jc w:val="center"/>
              <w:rPr>
                <w:b/>
              </w:rPr>
            </w:pPr>
            <w:r>
              <w:rPr>
                <w:b/>
              </w:rPr>
              <w:t>Number of</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909" w:type="dxa"/>
            <w:gridSpan w:val="2"/>
            <w:tcBorders/>
            <w:tcMar>
              <w:bottom w:w="0" w:type="dxa"/>
            </w:tcMar>
            <w:vAlign w:val="center"/>
          </w:tcPr>
          <w:p>
            <w:pPr>
              <w:pStyle w:val="TableContents"/>
              <w:bidi w:val="0"/>
              <w:spacing w:before="0" w:after="283"/>
              <w:jc w:val="center"/>
              <w:rPr>
                <w:b/>
              </w:rPr>
            </w:pPr>
            <w:r>
              <w:rPr>
                <w:b/>
              </w:rPr>
              <w:t>Remaining Life</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044" w:type="dxa"/>
            <w:gridSpan w:val="2"/>
            <w:tcBorders/>
            <w:tcMar>
              <w:bottom w:w="0" w:type="dxa"/>
            </w:tcMar>
            <w:vAlign w:val="center"/>
          </w:tcPr>
          <w:p>
            <w:pPr>
              <w:pStyle w:val="TableContents"/>
              <w:bidi w:val="0"/>
              <w:spacing w:before="0" w:after="283"/>
              <w:jc w:val="center"/>
              <w:rPr>
                <w:b/>
              </w:rPr>
            </w:pPr>
            <w:r>
              <w:rPr>
                <w:b/>
              </w:rPr>
              <w:t>Number of</w:t>
            </w:r>
          </w:p>
        </w:tc>
        <w:tc>
          <w:tcPr>
            <w:tcW w:w="75" w:type="dxa"/>
            <w:tcBorders/>
            <w:tcMar>
              <w:bottom w:w="0" w:type="dxa"/>
            </w:tcMar>
            <w:vAlign w:val="center"/>
          </w:tcPr>
          <w:p>
            <w:pPr>
              <w:pStyle w:val="TableContents"/>
              <w:bidi w:val="0"/>
              <w:spacing w:before="0" w:after="283"/>
              <w:jc w:val="left"/>
              <w:rPr/>
            </w:pPr>
            <w:r>
              <w:rPr/>
              <w:t> </w:t>
            </w:r>
          </w:p>
        </w:tc>
      </w:tr>
      <w:tr>
        <w:trPr/>
        <w:tc>
          <w:tcPr>
            <w:tcW w:w="1345" w:type="dxa"/>
            <w:gridSpan w:val="5"/>
            <w:tcBorders>
              <w:bottom w:val="single" w:sz="8" w:space="0" w:color="000000"/>
            </w:tcBorders>
            <w:vAlign w:val="center"/>
          </w:tcPr>
          <w:p>
            <w:pPr>
              <w:pStyle w:val="TableContents"/>
              <w:bidi w:val="0"/>
              <w:spacing w:before="0" w:after="283"/>
              <w:jc w:val="center"/>
              <w:rPr>
                <w:b/>
              </w:rPr>
            </w:pPr>
            <w:r>
              <w:rPr>
                <w:b/>
              </w:rPr>
              <w:t>Price</w:t>
            </w:r>
          </w:p>
        </w:tc>
        <w:tc>
          <w:tcPr>
            <w:tcW w:w="60" w:type="dxa"/>
            <w:tcBorders/>
            <w:tcMar>
              <w:bottom w:w="0" w:type="dxa"/>
            </w:tcMar>
            <w:vAlign w:val="center"/>
          </w:tcPr>
          <w:p>
            <w:pPr>
              <w:pStyle w:val="TableContents"/>
              <w:bidi w:val="0"/>
              <w:spacing w:before="0" w:after="283"/>
              <w:jc w:val="left"/>
              <w:rPr/>
            </w:pPr>
            <w:r>
              <w:rPr/>
              <w:t> </w:t>
            </w:r>
          </w:p>
        </w:tc>
        <w:tc>
          <w:tcPr>
            <w:tcW w:w="1129" w:type="dxa"/>
            <w:gridSpan w:val="2"/>
            <w:tcBorders>
              <w:bottom w:val="single" w:sz="8" w:space="0" w:color="000000"/>
            </w:tcBorders>
            <w:vAlign w:val="center"/>
          </w:tcPr>
          <w:p>
            <w:pPr>
              <w:pStyle w:val="TableContents"/>
              <w:bidi w:val="0"/>
              <w:spacing w:before="0" w:after="283"/>
              <w:jc w:val="center"/>
              <w:rPr>
                <w:b/>
              </w:rPr>
            </w:pPr>
            <w:r>
              <w:rPr>
                <w:b/>
              </w:rPr>
              <w:t>Options</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909" w:type="dxa"/>
            <w:gridSpan w:val="2"/>
            <w:tcBorders>
              <w:bottom w:val="single" w:sz="8" w:space="0" w:color="000000"/>
            </w:tcBorders>
            <w:vAlign w:val="center"/>
          </w:tcPr>
          <w:p>
            <w:pPr>
              <w:pStyle w:val="TableContents"/>
              <w:bidi w:val="0"/>
              <w:spacing w:before="0" w:after="283"/>
              <w:jc w:val="center"/>
              <w:rPr>
                <w:b/>
              </w:rPr>
            </w:pPr>
            <w:r>
              <w:rPr>
                <w:b/>
              </w:rPr>
              <w:t>In Years</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044" w:type="dxa"/>
            <w:gridSpan w:val="2"/>
            <w:tcBorders>
              <w:bottom w:val="single" w:sz="8" w:space="0" w:color="000000"/>
            </w:tcBorders>
            <w:vAlign w:val="center"/>
          </w:tcPr>
          <w:p>
            <w:pPr>
              <w:pStyle w:val="TableContents"/>
              <w:bidi w:val="0"/>
              <w:spacing w:before="0" w:after="283"/>
              <w:jc w:val="center"/>
              <w:rPr>
                <w:b/>
              </w:rPr>
            </w:pPr>
            <w:r>
              <w:rPr>
                <w:b/>
              </w:rPr>
              <w:t>Options</w:t>
            </w:r>
          </w:p>
        </w:tc>
        <w:tc>
          <w:tcPr>
            <w:tcW w:w="75" w:type="dxa"/>
            <w:tcBorders/>
            <w:tcMar>
              <w:bottom w:w="0" w:type="dxa"/>
            </w:tcMar>
            <w:vAlign w:val="center"/>
          </w:tcPr>
          <w:p>
            <w:pPr>
              <w:pStyle w:val="TableContents"/>
              <w:bidi w:val="0"/>
              <w:spacing w:before="0" w:after="283"/>
              <w:jc w:val="left"/>
              <w:rPr/>
            </w:pPr>
            <w:r>
              <w:rPr/>
              <w:t> </w:t>
            </w:r>
          </w:p>
        </w:tc>
      </w:tr>
      <w:tr>
        <w:trPr/>
        <w:tc>
          <w:tcPr>
            <w:tcW w:w="15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10"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 xml:space="preserve">Under </w:t>
            </w:r>
            <w:bookmarkStart w:id="681" w:name="xdx_902_eus-gaap--ShareBasedCompensation"/>
            <w:bookmarkEnd w:id="681"/>
            <w:r>
              <w:rPr>
                <w:rFonts w:ascii="Times New Roman;Times;Serif" w:hAnsi="Times New Roman;Times;Serif"/>
                <w:sz w:val="20"/>
              </w:rPr>
              <w:t>9.99</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5" w:type="dxa"/>
            <w:tcBorders/>
            <w:shd w:fill="CCEEFF" w:val="clear"/>
            <w:tcMar>
              <w:bottom w:w="0" w:type="dxa"/>
            </w:tcMar>
            <w:vAlign w:val="center"/>
          </w:tcPr>
          <w:p>
            <w:pPr>
              <w:pStyle w:val="TableContents"/>
              <w:bidi w:val="0"/>
              <w:spacing w:before="0" w:after="283"/>
              <w:jc w:val="left"/>
              <w:rPr/>
            </w:pPr>
            <w:r>
              <w:rPr/>
              <w:t> </w:t>
            </w:r>
            <w:bookmarkStart w:id="682" w:name="xdx_985_eus-gaap--ShareBasedCompensation"/>
            <w:bookmarkEnd w:id="682"/>
          </w:p>
        </w:tc>
        <w:tc>
          <w:tcPr>
            <w:tcW w:w="1064" w:type="dxa"/>
            <w:tcBorders/>
            <w:shd w:fill="CCEEFF" w:val="clear"/>
            <w:tcMar>
              <w:bottom w:w="0" w:type="dxa"/>
            </w:tcMar>
            <w:vAlign w:val="center"/>
          </w:tcPr>
          <w:p>
            <w:pPr>
              <w:pStyle w:val="TableContents"/>
              <w:bidi w:val="0"/>
              <w:spacing w:before="0" w:after="283"/>
              <w:jc w:val="right"/>
              <w:rPr/>
            </w:pPr>
            <w:r>
              <w:rPr/>
              <w:t>2,715,000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01" w:type="dxa"/>
            <w:tcBorders/>
            <w:shd w:fill="CCEEFF" w:val="clear"/>
            <w:tcMar>
              <w:bottom w:w="0" w:type="dxa"/>
            </w:tcMar>
            <w:vAlign w:val="center"/>
          </w:tcPr>
          <w:p>
            <w:pPr>
              <w:pStyle w:val="TableContents"/>
              <w:bidi w:val="0"/>
              <w:spacing w:before="0" w:after="283"/>
              <w:jc w:val="left"/>
              <w:rPr/>
            </w:pPr>
            <w:r>
              <w:rPr/>
              <w:t> </w:t>
            </w:r>
            <w:bookmarkStart w:id="683" w:name="xdx_980_eus-gaap--SharebasedCompensation"/>
            <w:bookmarkEnd w:id="683"/>
          </w:p>
        </w:tc>
        <w:tc>
          <w:tcPr>
            <w:tcW w:w="1608" w:type="dxa"/>
            <w:tcBorders/>
            <w:shd w:fill="CCEEFF" w:val="clear"/>
            <w:tcMar>
              <w:bottom w:w="0" w:type="dxa"/>
            </w:tcMar>
            <w:vAlign w:val="center"/>
          </w:tcPr>
          <w:p>
            <w:pPr>
              <w:pStyle w:val="TableContents"/>
              <w:bidi w:val="0"/>
              <w:spacing w:before="0" w:after="283"/>
              <w:jc w:val="right"/>
              <w:rPr/>
            </w:pPr>
            <w:r>
              <w:rPr/>
              <w:t>9.0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6" w:type="dxa"/>
            <w:tcBorders/>
            <w:shd w:fill="CCEEFF" w:val="clear"/>
            <w:tcMar>
              <w:bottom w:w="0" w:type="dxa"/>
            </w:tcMar>
            <w:vAlign w:val="center"/>
          </w:tcPr>
          <w:p>
            <w:pPr>
              <w:pStyle w:val="TableContents"/>
              <w:bidi w:val="0"/>
              <w:spacing w:before="0" w:after="283"/>
              <w:jc w:val="left"/>
              <w:rPr/>
            </w:pPr>
            <w:r>
              <w:rPr/>
              <w:t> </w:t>
            </w:r>
            <w:bookmarkStart w:id="684" w:name="xdx_98E_eus-gaap--ShareBasedCompensation"/>
            <w:bookmarkEnd w:id="684"/>
          </w:p>
        </w:tc>
        <w:tc>
          <w:tcPr>
            <w:tcW w:w="1928" w:type="dxa"/>
            <w:tcBorders/>
            <w:shd w:fill="CCEEFF" w:val="clear"/>
            <w:tcMar>
              <w:bottom w:w="0" w:type="dxa"/>
            </w:tcMar>
            <w:vAlign w:val="center"/>
          </w:tcPr>
          <w:p>
            <w:pPr>
              <w:pStyle w:val="TableContents"/>
              <w:bidi w:val="0"/>
              <w:spacing w:before="0" w:after="283"/>
              <w:jc w:val="right"/>
              <w:rPr/>
            </w:pPr>
            <w:r>
              <w:rPr/>
              <w:t>2,715,000</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15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10"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bookmarkStart w:id="685" w:name="xdx_908_eus-gaap--ShareBasedCompensation"/>
            <w:bookmarkEnd w:id="685"/>
            <w:r>
              <w:rPr>
                <w:rFonts w:ascii="Times New Roman;Times;Serif" w:hAnsi="Times New Roman;Times;Serif"/>
                <w:sz w:val="20"/>
              </w:rPr>
              <w:t>10.00-</w:t>
            </w:r>
            <w:bookmarkStart w:id="686" w:name="xdx_901_eus-gaap--ShareBasedCompensation"/>
            <w:bookmarkEnd w:id="686"/>
            <w:r>
              <w:rPr>
                <w:rFonts w:ascii="Times New Roman;Times;Serif" w:hAnsi="Times New Roman;Times;Serif"/>
                <w:sz w:val="20"/>
              </w:rPr>
              <w:t>19.99</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5" w:type="dxa"/>
            <w:tcBorders/>
            <w:shd w:fill="FFFFFF" w:val="clear"/>
            <w:tcMar>
              <w:bottom w:w="0" w:type="dxa"/>
            </w:tcMar>
            <w:vAlign w:val="center"/>
          </w:tcPr>
          <w:p>
            <w:pPr>
              <w:pStyle w:val="TableContents"/>
              <w:bidi w:val="0"/>
              <w:spacing w:before="0" w:after="283"/>
              <w:jc w:val="left"/>
              <w:rPr/>
            </w:pPr>
            <w:r>
              <w:rPr/>
              <w:t> </w:t>
            </w:r>
            <w:bookmarkStart w:id="687" w:name="xdx_983_eus-gaap--ShareBasedCompensation"/>
            <w:bookmarkEnd w:id="687"/>
          </w:p>
        </w:tc>
        <w:tc>
          <w:tcPr>
            <w:tcW w:w="1064" w:type="dxa"/>
            <w:tcBorders/>
            <w:shd w:fill="FFFFFF" w:val="clear"/>
            <w:tcMar>
              <w:bottom w:w="0" w:type="dxa"/>
            </w:tcMar>
            <w:vAlign w:val="center"/>
          </w:tcPr>
          <w:p>
            <w:pPr>
              <w:pStyle w:val="TableContents"/>
              <w:bidi w:val="0"/>
              <w:spacing w:before="0" w:after="283"/>
              <w:jc w:val="right"/>
              <w:rPr/>
            </w:pPr>
            <w:r>
              <w:rPr/>
              <w:t>15,000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01" w:type="dxa"/>
            <w:tcBorders/>
            <w:shd w:fill="FFFFFF" w:val="clear"/>
            <w:tcMar>
              <w:bottom w:w="0" w:type="dxa"/>
            </w:tcMar>
            <w:vAlign w:val="center"/>
          </w:tcPr>
          <w:p>
            <w:pPr>
              <w:pStyle w:val="TableContents"/>
              <w:bidi w:val="0"/>
              <w:spacing w:before="0" w:after="283"/>
              <w:jc w:val="left"/>
              <w:rPr/>
            </w:pPr>
            <w:r>
              <w:rPr/>
              <w:t> </w:t>
            </w:r>
            <w:bookmarkStart w:id="688" w:name="xdx_98F_eus-gaap--SharebasedCompensation"/>
            <w:bookmarkEnd w:id="688"/>
          </w:p>
        </w:tc>
        <w:tc>
          <w:tcPr>
            <w:tcW w:w="1608" w:type="dxa"/>
            <w:tcBorders/>
            <w:shd w:fill="FFFFFF" w:val="clear"/>
            <w:tcMar>
              <w:bottom w:w="0" w:type="dxa"/>
            </w:tcMar>
            <w:vAlign w:val="center"/>
          </w:tcPr>
          <w:p>
            <w:pPr>
              <w:pStyle w:val="TableContents"/>
              <w:bidi w:val="0"/>
              <w:spacing w:before="0" w:after="283"/>
              <w:jc w:val="right"/>
              <w:rPr/>
            </w:pPr>
            <w:r>
              <w:rPr/>
              <w:t>7.6</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6" w:type="dxa"/>
            <w:tcBorders/>
            <w:shd w:fill="FFFFFF" w:val="clear"/>
            <w:tcMar>
              <w:bottom w:w="0" w:type="dxa"/>
            </w:tcMar>
            <w:vAlign w:val="center"/>
          </w:tcPr>
          <w:p>
            <w:pPr>
              <w:pStyle w:val="TableContents"/>
              <w:bidi w:val="0"/>
              <w:spacing w:before="0" w:after="283"/>
              <w:jc w:val="left"/>
              <w:rPr/>
            </w:pPr>
            <w:r>
              <w:rPr/>
              <w:t> </w:t>
            </w:r>
            <w:bookmarkStart w:id="689" w:name="xdx_980_eus-gaap--ShareBasedCompensation"/>
            <w:bookmarkEnd w:id="689"/>
          </w:p>
        </w:tc>
        <w:tc>
          <w:tcPr>
            <w:tcW w:w="1928" w:type="dxa"/>
            <w:tcBorders/>
            <w:shd w:fill="FFFFFF" w:val="clear"/>
            <w:tcMar>
              <w:bottom w:w="0" w:type="dxa"/>
            </w:tcMar>
            <w:vAlign w:val="center"/>
          </w:tcPr>
          <w:p>
            <w:pPr>
              <w:pStyle w:val="TableContents"/>
              <w:bidi w:val="0"/>
              <w:spacing w:before="0" w:after="283"/>
              <w:jc w:val="right"/>
              <w:rPr/>
            </w:pPr>
            <w:r>
              <w:rPr/>
              <w:t>15,000</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15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10"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bookmarkStart w:id="690" w:name="xdx_90F_eus-gaap--ShareBasedCompensation"/>
            <w:bookmarkEnd w:id="690"/>
            <w:r>
              <w:rPr>
                <w:rFonts w:ascii="Times New Roman;Times;Serif" w:hAnsi="Times New Roman;Times;Serif"/>
                <w:sz w:val="20"/>
              </w:rPr>
              <w:t>20.00-</w:t>
            </w:r>
            <w:bookmarkStart w:id="691" w:name="xdx_905_eus-gaap--ShareBasedCompensation"/>
            <w:bookmarkEnd w:id="691"/>
            <w:r>
              <w:rPr>
                <w:rFonts w:ascii="Times New Roman;Times;Serif" w:hAnsi="Times New Roman;Times;Serif"/>
                <w:sz w:val="20"/>
              </w:rPr>
              <w:t>49.99</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5" w:type="dxa"/>
            <w:tcBorders/>
            <w:shd w:fill="CCEEFF" w:val="clear"/>
            <w:tcMar>
              <w:bottom w:w="0" w:type="dxa"/>
            </w:tcMar>
            <w:vAlign w:val="center"/>
          </w:tcPr>
          <w:p>
            <w:pPr>
              <w:pStyle w:val="TableContents"/>
              <w:bidi w:val="0"/>
              <w:spacing w:before="0" w:after="283"/>
              <w:jc w:val="left"/>
              <w:rPr/>
            </w:pPr>
            <w:r>
              <w:rPr/>
              <w:t> </w:t>
            </w:r>
            <w:bookmarkStart w:id="692" w:name="xdx_980_eus-gaap--ShareBasedCompensation"/>
            <w:bookmarkEnd w:id="692"/>
          </w:p>
        </w:tc>
        <w:tc>
          <w:tcPr>
            <w:tcW w:w="1064" w:type="dxa"/>
            <w:tcBorders/>
            <w:shd w:fill="CCEEFF" w:val="clear"/>
            <w:tcMar>
              <w:bottom w:w="0" w:type="dxa"/>
            </w:tcMar>
            <w:vAlign w:val="center"/>
          </w:tcPr>
          <w:p>
            <w:pPr>
              <w:pStyle w:val="TableContents"/>
              <w:bidi w:val="0"/>
              <w:spacing w:before="0" w:after="283"/>
              <w:jc w:val="right"/>
              <w:rPr/>
            </w:pPr>
            <w:r>
              <w:rPr/>
              <w:t>3,000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01" w:type="dxa"/>
            <w:tcBorders/>
            <w:shd w:fill="CCEEFF" w:val="clear"/>
            <w:tcMar>
              <w:bottom w:w="0" w:type="dxa"/>
            </w:tcMar>
            <w:vAlign w:val="center"/>
          </w:tcPr>
          <w:p>
            <w:pPr>
              <w:pStyle w:val="TableContents"/>
              <w:bidi w:val="0"/>
              <w:spacing w:before="0" w:after="283"/>
              <w:jc w:val="left"/>
              <w:rPr/>
            </w:pPr>
            <w:r>
              <w:rPr/>
              <w:t> </w:t>
            </w:r>
            <w:bookmarkStart w:id="693" w:name="xdx_98F_eus-gaap--SharebasedCompensation"/>
            <w:bookmarkEnd w:id="693"/>
          </w:p>
        </w:tc>
        <w:tc>
          <w:tcPr>
            <w:tcW w:w="1608" w:type="dxa"/>
            <w:tcBorders/>
            <w:shd w:fill="CCEEFF" w:val="clear"/>
            <w:tcMar>
              <w:bottom w:w="0" w:type="dxa"/>
            </w:tcMar>
            <w:vAlign w:val="center"/>
          </w:tcPr>
          <w:p>
            <w:pPr>
              <w:pStyle w:val="TableContents"/>
              <w:bidi w:val="0"/>
              <w:spacing w:before="0" w:after="283"/>
              <w:jc w:val="right"/>
              <w:rPr/>
            </w:pPr>
            <w:r>
              <w:rPr/>
              <w:t>3.5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6" w:type="dxa"/>
            <w:tcBorders/>
            <w:shd w:fill="CCEEFF" w:val="clear"/>
            <w:tcMar>
              <w:bottom w:w="0" w:type="dxa"/>
            </w:tcMar>
            <w:vAlign w:val="center"/>
          </w:tcPr>
          <w:p>
            <w:pPr>
              <w:pStyle w:val="TableContents"/>
              <w:bidi w:val="0"/>
              <w:spacing w:before="0" w:after="283"/>
              <w:jc w:val="left"/>
              <w:rPr/>
            </w:pPr>
            <w:r>
              <w:rPr/>
              <w:t> </w:t>
            </w:r>
            <w:bookmarkStart w:id="694" w:name="xdx_980_eus-gaap--ShareBasedCompensation"/>
            <w:bookmarkEnd w:id="694"/>
          </w:p>
        </w:tc>
        <w:tc>
          <w:tcPr>
            <w:tcW w:w="1928" w:type="dxa"/>
            <w:tcBorders/>
            <w:shd w:fill="CCEEFF" w:val="clear"/>
            <w:tcMar>
              <w:bottom w:w="0" w:type="dxa"/>
            </w:tcMar>
            <w:vAlign w:val="center"/>
          </w:tcPr>
          <w:p>
            <w:pPr>
              <w:pStyle w:val="TableContents"/>
              <w:bidi w:val="0"/>
              <w:spacing w:before="0" w:after="283"/>
              <w:jc w:val="right"/>
              <w:rPr/>
            </w:pPr>
            <w:r>
              <w:rPr/>
              <w:t>3,000</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15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10"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bookmarkStart w:id="695" w:name="xdx_908_eus-gaap--ShareBasedCompensation"/>
            <w:bookmarkEnd w:id="695"/>
            <w:r>
              <w:rPr>
                <w:rFonts w:ascii="Times New Roman;Times;Serif" w:hAnsi="Times New Roman;Times;Serif"/>
                <w:sz w:val="20"/>
              </w:rPr>
              <w:t>50.00-</w:t>
            </w:r>
            <w:bookmarkStart w:id="696" w:name="xdx_902_eus-gaap--ShareBasedCompensation"/>
            <w:bookmarkEnd w:id="696"/>
            <w:r>
              <w:rPr>
                <w:rFonts w:ascii="Times New Roman;Times;Serif" w:hAnsi="Times New Roman;Times;Serif"/>
                <w:sz w:val="20"/>
              </w:rPr>
              <w:t>69.99</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5" w:type="dxa"/>
            <w:tcBorders>
              <w:bottom w:val="single" w:sz="8" w:space="0" w:color="000000"/>
            </w:tcBorders>
            <w:shd w:fill="FFFFFF" w:val="clear"/>
            <w:vAlign w:val="center"/>
          </w:tcPr>
          <w:p>
            <w:pPr>
              <w:pStyle w:val="TableContents"/>
              <w:bidi w:val="0"/>
              <w:spacing w:before="0" w:after="283"/>
              <w:jc w:val="left"/>
              <w:rPr/>
            </w:pPr>
            <w:r>
              <w:rPr/>
              <w:t> </w:t>
            </w:r>
            <w:bookmarkStart w:id="697" w:name="xdx_985_eus-gaap--ShareBasedCompensation"/>
            <w:bookmarkEnd w:id="697"/>
          </w:p>
        </w:tc>
        <w:tc>
          <w:tcPr>
            <w:tcW w:w="1064" w:type="dxa"/>
            <w:tcBorders>
              <w:bottom w:val="single" w:sz="8" w:space="0" w:color="000000"/>
            </w:tcBorders>
            <w:shd w:fill="FFFFFF" w:val="clear"/>
            <w:vAlign w:val="center"/>
          </w:tcPr>
          <w:p>
            <w:pPr>
              <w:pStyle w:val="TableContents"/>
              <w:bidi w:val="0"/>
              <w:spacing w:before="0" w:after="283"/>
              <w:jc w:val="right"/>
              <w:rPr/>
            </w:pPr>
            <w:r>
              <w:rPr/>
              <w:t>3,000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01" w:type="dxa"/>
            <w:tcBorders/>
            <w:shd w:fill="FFFFFF" w:val="clear"/>
            <w:tcMar>
              <w:bottom w:w="0" w:type="dxa"/>
            </w:tcMar>
            <w:vAlign w:val="center"/>
          </w:tcPr>
          <w:p>
            <w:pPr>
              <w:pStyle w:val="TableContents"/>
              <w:bidi w:val="0"/>
              <w:spacing w:before="0" w:after="283"/>
              <w:jc w:val="left"/>
              <w:rPr/>
            </w:pPr>
            <w:r>
              <w:rPr/>
              <w:t> </w:t>
            </w:r>
            <w:bookmarkStart w:id="698" w:name="xdx_986_eus-gaap--SharebasedCompensation"/>
            <w:bookmarkEnd w:id="698"/>
          </w:p>
        </w:tc>
        <w:tc>
          <w:tcPr>
            <w:tcW w:w="1608" w:type="dxa"/>
            <w:tcBorders/>
            <w:shd w:fill="FFFFFF" w:val="clear"/>
            <w:tcMar>
              <w:bottom w:w="0" w:type="dxa"/>
            </w:tcMar>
            <w:vAlign w:val="center"/>
          </w:tcPr>
          <w:p>
            <w:pPr>
              <w:pStyle w:val="TableContents"/>
              <w:bidi w:val="0"/>
              <w:spacing w:before="0" w:after="283"/>
              <w:jc w:val="right"/>
              <w:rPr/>
            </w:pPr>
            <w:r>
              <w:rPr/>
              <w:t>4.3</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6" w:type="dxa"/>
            <w:tcBorders>
              <w:bottom w:val="single" w:sz="8" w:space="0" w:color="000000"/>
            </w:tcBorders>
            <w:shd w:fill="FFFFFF" w:val="clear"/>
            <w:vAlign w:val="center"/>
          </w:tcPr>
          <w:p>
            <w:pPr>
              <w:pStyle w:val="TableContents"/>
              <w:bidi w:val="0"/>
              <w:spacing w:before="0" w:after="283"/>
              <w:jc w:val="left"/>
              <w:rPr/>
            </w:pPr>
            <w:r>
              <w:rPr/>
              <w:t> </w:t>
            </w:r>
            <w:bookmarkStart w:id="699" w:name="xdx_983_eus-gaap--ShareBasedCompensation"/>
            <w:bookmarkEnd w:id="699"/>
          </w:p>
        </w:tc>
        <w:tc>
          <w:tcPr>
            <w:tcW w:w="1928" w:type="dxa"/>
            <w:tcBorders>
              <w:bottom w:val="single" w:sz="8" w:space="0" w:color="000000"/>
            </w:tcBorders>
            <w:shd w:fill="FFFFFF" w:val="clear"/>
            <w:vAlign w:val="center"/>
          </w:tcPr>
          <w:p>
            <w:pPr>
              <w:pStyle w:val="TableContents"/>
              <w:bidi w:val="0"/>
              <w:spacing w:before="0" w:after="283"/>
              <w:jc w:val="right"/>
              <w:rPr/>
            </w:pPr>
            <w:r>
              <w:rPr/>
              <w:t>3,000</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15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1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5" w:type="dxa"/>
            <w:tcBorders/>
            <w:shd w:fill="CCEEFF" w:val="clear"/>
            <w:tcMar>
              <w:bottom w:w="0" w:type="dxa"/>
            </w:tcMar>
            <w:vAlign w:val="center"/>
          </w:tcPr>
          <w:p>
            <w:pPr>
              <w:pStyle w:val="TableContents"/>
              <w:bidi w:val="0"/>
              <w:spacing w:before="0" w:after="283"/>
              <w:jc w:val="left"/>
              <w:rPr/>
            </w:pPr>
            <w:r>
              <w:rPr/>
              <w:t> </w:t>
            </w:r>
            <w:bookmarkStart w:id="700" w:name="xdx_980_eus-gaap--ShareBasedCompensation"/>
            <w:bookmarkEnd w:id="700"/>
          </w:p>
        </w:tc>
        <w:tc>
          <w:tcPr>
            <w:tcW w:w="1064" w:type="dxa"/>
            <w:tcBorders/>
            <w:shd w:fill="CCEEFF" w:val="clear"/>
            <w:tcMar>
              <w:bottom w:w="0" w:type="dxa"/>
            </w:tcMar>
            <w:vAlign w:val="center"/>
          </w:tcPr>
          <w:p>
            <w:pPr>
              <w:pStyle w:val="TableContents"/>
              <w:bidi w:val="0"/>
              <w:spacing w:before="0" w:after="283"/>
              <w:jc w:val="right"/>
              <w:rPr/>
            </w:pPr>
            <w:r>
              <w:rPr/>
              <w:t>2,736,000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01" w:type="dxa"/>
            <w:tcBorders/>
            <w:shd w:fill="CCEEFF" w:val="clear"/>
            <w:tcMar>
              <w:bottom w:w="0" w:type="dxa"/>
            </w:tcMar>
            <w:vAlign w:val="center"/>
          </w:tcPr>
          <w:p>
            <w:pPr>
              <w:pStyle w:val="TableContents"/>
              <w:bidi w:val="0"/>
              <w:spacing w:before="0" w:after="283"/>
              <w:jc w:val="left"/>
              <w:rPr/>
            </w:pPr>
            <w:r>
              <w:rPr/>
              <w:t> </w:t>
            </w:r>
          </w:p>
        </w:tc>
        <w:tc>
          <w:tcPr>
            <w:tcW w:w="1608" w:type="dxa"/>
            <w:tcBorders/>
            <w:shd w:fill="CCEEFF" w:val="clear"/>
            <w:tcMar>
              <w:bottom w:w="0" w:type="dxa"/>
            </w:tcMar>
            <w:vAlign w:val="center"/>
          </w:tcPr>
          <w:p>
            <w:pPr>
              <w:pStyle w:val="TableContents"/>
              <w:bidi w:val="0"/>
              <w:spacing w:before="0" w:after="283"/>
              <w:jc w:val="right"/>
              <w:rPr/>
            </w:pPr>
            <w:bookmarkStart w:id="701" w:name="xdx_90B_eus-gaap--SharebasedCompensation"/>
            <w:bookmarkEnd w:id="701"/>
            <w:r>
              <w:rPr/>
              <w:t>9.0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6" w:type="dxa"/>
            <w:tcBorders/>
            <w:shd w:fill="CCEEFF" w:val="clear"/>
            <w:tcMar>
              <w:bottom w:w="0" w:type="dxa"/>
            </w:tcMar>
            <w:vAlign w:val="center"/>
          </w:tcPr>
          <w:p>
            <w:pPr>
              <w:pStyle w:val="TableContents"/>
              <w:bidi w:val="0"/>
              <w:spacing w:before="0" w:after="283"/>
              <w:jc w:val="left"/>
              <w:rPr/>
            </w:pPr>
            <w:r>
              <w:rPr/>
              <w:t> </w:t>
            </w:r>
            <w:bookmarkStart w:id="702" w:name="xdx_98F_eus-gaap--ShareBasedCompensation"/>
            <w:bookmarkEnd w:id="702"/>
          </w:p>
        </w:tc>
        <w:tc>
          <w:tcPr>
            <w:tcW w:w="1928" w:type="dxa"/>
            <w:tcBorders/>
            <w:shd w:fill="CCEEFF" w:val="clear"/>
            <w:tcMar>
              <w:bottom w:w="0" w:type="dxa"/>
            </w:tcMar>
            <w:vAlign w:val="center"/>
          </w:tcPr>
          <w:p>
            <w:pPr>
              <w:pStyle w:val="TableContents"/>
              <w:bidi w:val="0"/>
              <w:spacing w:before="0" w:after="283"/>
              <w:jc w:val="right"/>
              <w:rPr/>
            </w:pPr>
            <w:r>
              <w:rPr/>
              <w:t>2,736,000</w:t>
            </w:r>
          </w:p>
        </w:tc>
        <w:tc>
          <w:tcPr>
            <w:tcW w:w="75"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703" w:name="xdx_8A5_zY7VZGu8NJz9"/>
      <w:bookmarkEnd w:id="703"/>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704" w:name="xdx_890_eus-gaap--ScheduleOfShareBasedCo"/>
      <w:bookmarkEnd w:id="704"/>
      <w:r>
        <w:rPr>
          <w:rFonts w:ascii="Times New Roman;Times;Serif" w:hAnsi="Times New Roman;Times;Serif"/>
          <w:b w:val="false"/>
          <w:i w:val="false"/>
          <w:caps w:val="false"/>
          <w:smallCaps w:val="false"/>
          <w:sz w:val="20"/>
        </w:rPr>
        <w:t>A summary of the stock option activity and related information for the Plan for the nine months ended September 30, 2025 is as follows:</w:t>
      </w:r>
    </w:p>
    <w:p>
      <w:pPr>
        <w:pStyle w:val="TextBody"/>
        <w:bidi w:val="0"/>
        <w:spacing w:before="0" w:after="0"/>
        <w:ind w:left="0" w:right="0" w:hanging="0"/>
        <w:jc w:val="both"/>
        <w:rPr>
          <w:caps w:val="false"/>
          <w:smallCaps w:val="false"/>
        </w:rPr>
      </w:pPr>
      <w:r>
        <w:rPr>
          <w:caps w:val="false"/>
          <w:smallCaps w:val="false"/>
        </w:rPr>
        <w:t> </w:t>
      </w:r>
      <w:bookmarkStart w:id="705" w:name="xdx_8B7_z8999SjzuCyd"/>
      <w:bookmarkEnd w:id="705"/>
      <w:r>
        <w:rPr>
          <w:rFonts w:ascii="Times New Roman;Times;Serif" w:hAnsi="Times New Roman;Times;Serif"/>
          <w:b w:val="false"/>
          <w:i w:val="false"/>
          <w:caps w:val="false"/>
          <w:smallCaps w:val="false"/>
          <w:sz w:val="20"/>
        </w:rPr>
        <w:t>SCHEDULE OF STOCK OPTION ACTIVITY</w:t>
      </w:r>
    </w:p>
    <w:tbl>
      <w:tblPr>
        <w:tblW w:w="9449" w:type="dxa"/>
        <w:jc w:val="left"/>
        <w:tblInd w:w="0" w:type="dxa"/>
        <w:tblLayout w:type="fixed"/>
        <w:tblCellMar>
          <w:top w:w="0" w:type="dxa"/>
          <w:left w:w="0" w:type="dxa"/>
          <w:bottom w:w="0" w:type="dxa"/>
          <w:right w:w="0" w:type="dxa"/>
        </w:tblCellMar>
      </w:tblPr>
      <w:tblGrid>
        <w:gridCol w:w="3380"/>
        <w:gridCol w:w="60"/>
        <w:gridCol w:w="60"/>
        <w:gridCol w:w="980"/>
        <w:gridCol w:w="95"/>
        <w:gridCol w:w="60"/>
        <w:gridCol w:w="322"/>
        <w:gridCol w:w="1288"/>
        <w:gridCol w:w="60"/>
        <w:gridCol w:w="60"/>
        <w:gridCol w:w="254"/>
        <w:gridCol w:w="1356"/>
        <w:gridCol w:w="60"/>
        <w:gridCol w:w="60"/>
        <w:gridCol w:w="144"/>
        <w:gridCol w:w="1135"/>
        <w:gridCol w:w="75"/>
      </w:tblGrid>
      <w:tr>
        <w:trPr/>
        <w:tc>
          <w:tcPr>
            <w:tcW w:w="33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Shares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10"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Weighted-Average</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Exercise Price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10"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Weighted-Average</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Remaining</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Contractual Term</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79"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Aggregate</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Intrinsic Value</w:t>
            </w:r>
          </w:p>
        </w:tc>
        <w:tc>
          <w:tcPr>
            <w:tcW w:w="75" w:type="dxa"/>
            <w:tcBorders/>
            <w:vAlign w:val="center"/>
          </w:tcPr>
          <w:p>
            <w:pPr>
              <w:pStyle w:val="TableContents"/>
              <w:bidi w:val="0"/>
              <w:spacing w:before="0" w:after="283"/>
              <w:jc w:val="left"/>
              <w:rPr/>
            </w:pPr>
            <w:r>
              <w:rPr/>
              <w:t> </w:t>
            </w:r>
          </w:p>
        </w:tc>
      </w:tr>
      <w:tr>
        <w:trPr/>
        <w:tc>
          <w:tcPr>
            <w:tcW w:w="3380" w:type="dxa"/>
            <w:tcBorders/>
            <w:shd w:fill="CCEEFF" w:val="clear"/>
            <w:vAlign w:val="center"/>
          </w:tcPr>
          <w:p>
            <w:pPr>
              <w:pStyle w:val="TableContents"/>
              <w:bidi w:val="0"/>
              <w:spacing w:before="0" w:after="283"/>
              <w:jc w:val="left"/>
              <w:rPr/>
            </w:pPr>
            <w:r>
              <w:rPr/>
              <w:t>Outstanding at January 1, 2025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706" w:name="xdx_98F_eus-gaap--ShareBasedCompensation"/>
            <w:bookmarkEnd w:id="706"/>
          </w:p>
        </w:tc>
        <w:tc>
          <w:tcPr>
            <w:tcW w:w="980" w:type="dxa"/>
            <w:tcBorders/>
            <w:shd w:fill="CCEEFF" w:val="clear"/>
            <w:vAlign w:val="center"/>
          </w:tcPr>
          <w:p>
            <w:pPr>
              <w:pStyle w:val="TableContents"/>
              <w:bidi w:val="0"/>
              <w:spacing w:before="0" w:after="283"/>
              <w:jc w:val="right"/>
              <w:rPr/>
            </w:pPr>
            <w:r>
              <w:rPr/>
              <w:t>2,515,200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2" w:type="dxa"/>
            <w:tcBorders/>
            <w:shd w:fill="CCEEFF" w:val="clear"/>
            <w:vAlign w:val="center"/>
          </w:tcPr>
          <w:p>
            <w:pPr>
              <w:pStyle w:val="TableContents"/>
              <w:bidi w:val="0"/>
              <w:spacing w:before="0" w:after="283"/>
              <w:jc w:val="left"/>
              <w:rPr/>
            </w:pPr>
            <w:r>
              <w:rPr/>
              <w:t>$</w:t>
            </w:r>
            <w:bookmarkStart w:id="707" w:name="xdx_98A_eus-gaap--ShareBasedCompensation"/>
            <w:bookmarkEnd w:id="707"/>
          </w:p>
        </w:tc>
        <w:tc>
          <w:tcPr>
            <w:tcW w:w="1288" w:type="dxa"/>
            <w:tcBorders/>
            <w:shd w:fill="CCEEFF" w:val="clear"/>
            <w:vAlign w:val="center"/>
          </w:tcPr>
          <w:p>
            <w:pPr>
              <w:pStyle w:val="TableContents"/>
              <w:bidi w:val="0"/>
              <w:spacing w:before="0" w:after="283"/>
              <w:jc w:val="right"/>
              <w:rPr/>
            </w:pPr>
            <w:r>
              <w:rPr/>
              <w:t>0.96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4" w:type="dxa"/>
            <w:tcBorders/>
            <w:shd w:fill="CCEEFF" w:val="clear"/>
            <w:vAlign w:val="center"/>
          </w:tcPr>
          <w:p>
            <w:pPr>
              <w:pStyle w:val="TableContents"/>
              <w:bidi w:val="0"/>
              <w:spacing w:before="0" w:after="283"/>
              <w:jc w:val="left"/>
              <w:rPr/>
            </w:pPr>
            <w:r>
              <w:rPr/>
              <w:t> </w:t>
            </w:r>
            <w:bookmarkStart w:id="708" w:name="xdx_988_eus-gaap--SharebasedCompensation"/>
            <w:bookmarkEnd w:id="708"/>
          </w:p>
        </w:tc>
        <w:tc>
          <w:tcPr>
            <w:tcW w:w="1356" w:type="dxa"/>
            <w:tcBorders/>
            <w:shd w:fill="CCEEFF" w:val="clear"/>
            <w:vAlign w:val="center"/>
          </w:tcPr>
          <w:p>
            <w:pPr>
              <w:pStyle w:val="TableContents"/>
              <w:bidi w:val="0"/>
              <w:spacing w:before="0" w:after="283"/>
              <w:jc w:val="right"/>
              <w:rPr/>
            </w:pPr>
            <w:r>
              <w:rPr/>
              <w:t>9.6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w:t>
            </w:r>
            <w:bookmarkStart w:id="709" w:name="xdx_986_eus-gaap--ShareBasedCompensation"/>
            <w:bookmarkEnd w:id="709"/>
          </w:p>
        </w:tc>
        <w:tc>
          <w:tcPr>
            <w:tcW w:w="1135" w:type="dxa"/>
            <w:tcBorders/>
            <w:shd w:fill="CCEEFF" w:val="clear"/>
            <w:vAlign w:val="center"/>
          </w:tcPr>
          <w:p>
            <w:pPr>
              <w:pStyle w:val="TableContents"/>
              <w:bidi w:val="0"/>
              <w:spacing w:before="0" w:after="283"/>
              <w:jc w:val="right"/>
              <w:rPr/>
            </w:pPr>
            <w:r>
              <w:rPr/>
              <w:t>2,501,040</w:t>
            </w:r>
          </w:p>
        </w:tc>
        <w:tc>
          <w:tcPr>
            <w:tcW w:w="75" w:type="dxa"/>
            <w:tcBorders/>
            <w:shd w:fill="CCEEFF" w:val="clear"/>
            <w:vAlign w:val="center"/>
          </w:tcPr>
          <w:p>
            <w:pPr>
              <w:pStyle w:val="TableContents"/>
              <w:bidi w:val="0"/>
              <w:spacing w:before="0" w:after="283"/>
              <w:jc w:val="left"/>
              <w:rPr/>
            </w:pPr>
            <w:r>
              <w:rPr/>
              <w:t> </w:t>
            </w:r>
          </w:p>
        </w:tc>
      </w:tr>
      <w:tr>
        <w:trPr/>
        <w:tc>
          <w:tcPr>
            <w:tcW w:w="3380" w:type="dxa"/>
            <w:tcBorders/>
            <w:shd w:fill="FFFFFF" w:val="clear"/>
            <w:vAlign w:val="center"/>
          </w:tcPr>
          <w:p>
            <w:pPr>
              <w:pStyle w:val="TableContents"/>
              <w:bidi w:val="0"/>
              <w:spacing w:before="0" w:after="283"/>
              <w:jc w:val="left"/>
              <w:rPr/>
            </w:pPr>
            <w:r>
              <w:rPr/>
              <w:t>Issued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710" w:name="xdx_98F_eus-gaap--ShareBasedCompensation"/>
            <w:bookmarkEnd w:id="710"/>
          </w:p>
        </w:tc>
        <w:tc>
          <w:tcPr>
            <w:tcW w:w="980" w:type="dxa"/>
            <w:tcBorders/>
            <w:shd w:fill="FFFFFF" w:val="clear"/>
            <w:vAlign w:val="center"/>
          </w:tcPr>
          <w:p>
            <w:pPr>
              <w:pStyle w:val="TableContents"/>
              <w:bidi w:val="0"/>
              <w:spacing w:before="0" w:after="283"/>
              <w:jc w:val="right"/>
              <w:rPr/>
            </w:pPr>
            <w:r>
              <w:rPr/>
              <w:t>250,000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22" w:type="dxa"/>
            <w:tcBorders/>
            <w:shd w:fill="FFFFFF" w:val="clear"/>
            <w:vAlign w:val="center"/>
          </w:tcPr>
          <w:p>
            <w:pPr>
              <w:pStyle w:val="TableContents"/>
              <w:bidi w:val="0"/>
              <w:spacing w:before="0" w:after="283"/>
              <w:jc w:val="left"/>
              <w:rPr/>
            </w:pPr>
            <w:r>
              <w:rPr/>
              <w:t>$</w:t>
            </w:r>
            <w:bookmarkStart w:id="711" w:name="xdx_98D_eus-gaap--ShareBasedCompensation"/>
            <w:bookmarkEnd w:id="711"/>
          </w:p>
        </w:tc>
        <w:tc>
          <w:tcPr>
            <w:tcW w:w="1288" w:type="dxa"/>
            <w:tcBorders/>
            <w:shd w:fill="FFFFFF" w:val="clear"/>
            <w:vAlign w:val="center"/>
          </w:tcPr>
          <w:p>
            <w:pPr>
              <w:pStyle w:val="TableContents"/>
              <w:bidi w:val="0"/>
              <w:spacing w:before="0" w:after="283"/>
              <w:jc w:val="right"/>
              <w:rPr/>
            </w:pPr>
            <w:r>
              <w:rPr/>
              <w:t>0.84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4" w:type="dxa"/>
            <w:tcBorders/>
            <w:shd w:fill="FFFFFF" w:val="clear"/>
            <w:vAlign w:val="center"/>
          </w:tcPr>
          <w:p>
            <w:pPr>
              <w:pStyle w:val="TableContents"/>
              <w:bidi w:val="0"/>
              <w:spacing w:before="0" w:after="283"/>
              <w:jc w:val="left"/>
              <w:rPr/>
            </w:pPr>
            <w:r>
              <w:rPr/>
              <w:t> </w:t>
            </w:r>
            <w:bookmarkStart w:id="712" w:name="xdx_98C_ecustom--SharebasedCompensationA"/>
            <w:bookmarkEnd w:id="712"/>
          </w:p>
        </w:tc>
        <w:tc>
          <w:tcPr>
            <w:tcW w:w="1356" w:type="dxa"/>
            <w:tcBorders/>
            <w:shd w:fill="FFFFFF" w:val="clear"/>
            <w:vAlign w:val="center"/>
          </w:tcPr>
          <w:p>
            <w:pPr>
              <w:pStyle w:val="TableContents"/>
              <w:bidi w:val="0"/>
              <w:spacing w:before="0" w:after="283"/>
              <w:jc w:val="right"/>
              <w:rPr/>
            </w:pPr>
            <w:r>
              <w:rPr/>
              <w:t>9.6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1135"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3380" w:type="dxa"/>
            <w:tcBorders/>
            <w:shd w:fill="CCEEFF" w:val="clear"/>
            <w:vAlign w:val="center"/>
          </w:tcPr>
          <w:p>
            <w:pPr>
              <w:pStyle w:val="TableContents"/>
              <w:bidi w:val="0"/>
              <w:spacing w:before="0" w:after="283"/>
              <w:jc w:val="left"/>
              <w:rPr/>
            </w:pPr>
            <w:r>
              <w:rPr/>
              <w:t>Forfeited/expired</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713" w:name="xdx_98D_eus-gaap--ShareBasedCompensation"/>
            <w:bookmarkEnd w:id="713"/>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(29,200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322" w:type="dxa"/>
            <w:tcBorders>
              <w:bottom w:val="single" w:sz="8" w:space="0" w:color="000000"/>
            </w:tcBorders>
            <w:shd w:fill="CCEEFF" w:val="clear"/>
            <w:tcMar>
              <w:bottom w:w="28" w:type="dxa"/>
            </w:tcMar>
            <w:vAlign w:val="center"/>
          </w:tcPr>
          <w:p>
            <w:pPr>
              <w:pStyle w:val="TableContents"/>
              <w:bidi w:val="0"/>
              <w:spacing w:before="0" w:after="283"/>
              <w:jc w:val="left"/>
              <w:rPr/>
            </w:pPr>
            <w:r>
              <w:rPr/>
              <w:t>$</w:t>
            </w:r>
            <w:bookmarkStart w:id="714" w:name="xdx_988_eus-gaap--ShareBasedCompensation"/>
            <w:bookmarkEnd w:id="714"/>
          </w:p>
        </w:tc>
        <w:tc>
          <w:tcPr>
            <w:tcW w:w="1288" w:type="dxa"/>
            <w:tcBorders>
              <w:bottom w:val="single" w:sz="8" w:space="0" w:color="000000"/>
            </w:tcBorders>
            <w:shd w:fill="CCEEFF" w:val="clear"/>
            <w:tcMar>
              <w:bottom w:w="28" w:type="dxa"/>
            </w:tcMar>
            <w:vAlign w:val="center"/>
          </w:tcPr>
          <w:p>
            <w:pPr>
              <w:pStyle w:val="TableContents"/>
              <w:bidi w:val="0"/>
              <w:spacing w:before="0" w:after="283"/>
              <w:jc w:val="right"/>
              <w:rPr/>
            </w:pPr>
            <w:r>
              <w:rPr/>
              <w:t>17.34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56"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35"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3380" w:type="dxa"/>
            <w:tcBorders/>
            <w:shd w:fill="FFFFFF" w:val="clear"/>
            <w:vAlign w:val="center"/>
          </w:tcPr>
          <w:p>
            <w:pPr>
              <w:pStyle w:val="TableContents"/>
              <w:bidi w:val="0"/>
              <w:spacing w:before="0" w:after="283"/>
              <w:jc w:val="left"/>
              <w:rPr/>
            </w:pPr>
            <w:r>
              <w:rPr/>
              <w:t>Outstanding at September 30, 2025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715" w:name="xdx_98A_eus-gaap--ShareBasedCompensation"/>
            <w:bookmarkEnd w:id="715"/>
          </w:p>
        </w:tc>
        <w:tc>
          <w:tcPr>
            <w:tcW w:w="980" w:type="dxa"/>
            <w:tcBorders/>
            <w:shd w:fill="FFFFFF" w:val="clear"/>
            <w:vAlign w:val="center"/>
          </w:tcPr>
          <w:p>
            <w:pPr>
              <w:pStyle w:val="TableContents"/>
              <w:bidi w:val="0"/>
              <w:spacing w:before="0" w:after="283"/>
              <w:jc w:val="right"/>
              <w:rPr/>
            </w:pPr>
            <w:r>
              <w:rPr/>
              <w:t>2,736,000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22" w:type="dxa"/>
            <w:tcBorders/>
            <w:shd w:fill="FFFFFF" w:val="clear"/>
            <w:vAlign w:val="center"/>
          </w:tcPr>
          <w:p>
            <w:pPr>
              <w:pStyle w:val="TableContents"/>
              <w:bidi w:val="0"/>
              <w:spacing w:before="0" w:after="283"/>
              <w:jc w:val="left"/>
              <w:rPr/>
            </w:pPr>
            <w:r>
              <w:rPr/>
              <w:t>$</w:t>
            </w:r>
            <w:bookmarkStart w:id="716" w:name="xdx_986_eus-gaap--ShareBasedCompensation"/>
            <w:bookmarkEnd w:id="716"/>
          </w:p>
        </w:tc>
        <w:tc>
          <w:tcPr>
            <w:tcW w:w="1288" w:type="dxa"/>
            <w:tcBorders/>
            <w:shd w:fill="FFFFFF" w:val="clear"/>
            <w:vAlign w:val="center"/>
          </w:tcPr>
          <w:p>
            <w:pPr>
              <w:pStyle w:val="TableContents"/>
              <w:bidi w:val="0"/>
              <w:spacing w:before="0" w:after="283"/>
              <w:jc w:val="right"/>
              <w:rPr/>
            </w:pPr>
            <w:r>
              <w:rPr/>
              <w:t>0.78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4" w:type="dxa"/>
            <w:tcBorders/>
            <w:shd w:fill="FFFFFF" w:val="clear"/>
            <w:vAlign w:val="center"/>
          </w:tcPr>
          <w:p>
            <w:pPr>
              <w:pStyle w:val="TableContents"/>
              <w:bidi w:val="0"/>
              <w:spacing w:before="0" w:after="283"/>
              <w:jc w:val="left"/>
              <w:rPr/>
            </w:pPr>
            <w:r>
              <w:rPr/>
              <w:t> </w:t>
            </w:r>
            <w:bookmarkStart w:id="717" w:name="xdx_988_eus-gaap--SharebasedCompensation"/>
            <w:bookmarkEnd w:id="717"/>
          </w:p>
        </w:tc>
        <w:tc>
          <w:tcPr>
            <w:tcW w:w="1356" w:type="dxa"/>
            <w:tcBorders/>
            <w:shd w:fill="FFFFFF" w:val="clear"/>
            <w:vAlign w:val="center"/>
          </w:tcPr>
          <w:p>
            <w:pPr>
              <w:pStyle w:val="TableContents"/>
              <w:bidi w:val="0"/>
              <w:spacing w:before="0" w:after="283"/>
              <w:jc w:val="right"/>
              <w:rPr/>
            </w:pPr>
            <w:r>
              <w:rPr/>
              <w:t>9.0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w:t>
            </w:r>
            <w:bookmarkStart w:id="718" w:name="xdx_98B_eus-gaap--ShareBasedCompensation"/>
            <w:bookmarkEnd w:id="718"/>
          </w:p>
        </w:tc>
        <w:tc>
          <w:tcPr>
            <w:tcW w:w="1135" w:type="dxa"/>
            <w:tcBorders/>
            <w:shd w:fill="FFFFFF" w:val="clear"/>
            <w:vAlign w:val="center"/>
          </w:tcPr>
          <w:p>
            <w:pPr>
              <w:pStyle w:val="TableContents"/>
              <w:bidi w:val="0"/>
              <w:spacing w:before="0" w:after="283"/>
              <w:jc w:val="right"/>
              <w:rPr/>
            </w:pPr>
            <w:r>
              <w:rPr/>
              <w:t>14,040,120</w:t>
            </w:r>
          </w:p>
        </w:tc>
        <w:tc>
          <w:tcPr>
            <w:tcW w:w="75" w:type="dxa"/>
            <w:tcBorders/>
            <w:shd w:fill="FFFFFF" w:val="clear"/>
            <w:vAlign w:val="center"/>
          </w:tcPr>
          <w:p>
            <w:pPr>
              <w:pStyle w:val="TableContents"/>
              <w:bidi w:val="0"/>
              <w:spacing w:before="0" w:after="283"/>
              <w:jc w:val="left"/>
              <w:rPr/>
            </w:pPr>
            <w:r>
              <w:rPr/>
              <w:t> </w:t>
            </w:r>
          </w:p>
        </w:tc>
      </w:tr>
      <w:tr>
        <w:trPr/>
        <w:tc>
          <w:tcPr>
            <w:tcW w:w="3380" w:type="dxa"/>
            <w:tcBorders/>
            <w:shd w:fill="CCEEFF" w:val="clear"/>
            <w:vAlign w:val="center"/>
          </w:tcPr>
          <w:p>
            <w:pPr>
              <w:pStyle w:val="TableContents"/>
              <w:bidi w:val="0"/>
              <w:spacing w:before="0" w:after="283"/>
              <w:jc w:val="left"/>
              <w:rPr/>
            </w:pPr>
            <w:r>
              <w:rPr/>
              <w:t>Exercisable at September 30, 2025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719" w:name="xdx_984_eus-gaap--ShareBasedCompensation"/>
            <w:bookmarkEnd w:id="719"/>
          </w:p>
        </w:tc>
        <w:tc>
          <w:tcPr>
            <w:tcW w:w="980" w:type="dxa"/>
            <w:tcBorders/>
            <w:shd w:fill="CCEEFF" w:val="clear"/>
            <w:vAlign w:val="center"/>
          </w:tcPr>
          <w:p>
            <w:pPr>
              <w:pStyle w:val="TableContents"/>
              <w:bidi w:val="0"/>
              <w:spacing w:before="0" w:after="283"/>
              <w:jc w:val="right"/>
              <w:rPr/>
            </w:pPr>
            <w:r>
              <w:rPr/>
              <w:t>2,736,000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2" w:type="dxa"/>
            <w:tcBorders/>
            <w:shd w:fill="CCEEFF" w:val="clear"/>
            <w:vAlign w:val="center"/>
          </w:tcPr>
          <w:p>
            <w:pPr>
              <w:pStyle w:val="TableContents"/>
              <w:bidi w:val="0"/>
              <w:spacing w:before="0" w:after="283"/>
              <w:jc w:val="left"/>
              <w:rPr/>
            </w:pPr>
            <w:r>
              <w:rPr/>
              <w:t>$</w:t>
            </w:r>
            <w:bookmarkStart w:id="720" w:name="xdx_988_eus-gaap--ShareBasedCompensation"/>
            <w:bookmarkEnd w:id="720"/>
          </w:p>
        </w:tc>
        <w:tc>
          <w:tcPr>
            <w:tcW w:w="1288" w:type="dxa"/>
            <w:tcBorders/>
            <w:shd w:fill="CCEEFF" w:val="clear"/>
            <w:vAlign w:val="center"/>
          </w:tcPr>
          <w:p>
            <w:pPr>
              <w:pStyle w:val="TableContents"/>
              <w:bidi w:val="0"/>
              <w:spacing w:before="0" w:after="283"/>
              <w:jc w:val="right"/>
              <w:rPr/>
            </w:pPr>
            <w:r>
              <w:rPr/>
              <w:t>0.78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4" w:type="dxa"/>
            <w:tcBorders/>
            <w:shd w:fill="CCEEFF" w:val="clear"/>
            <w:vAlign w:val="center"/>
          </w:tcPr>
          <w:p>
            <w:pPr>
              <w:pStyle w:val="TableContents"/>
              <w:bidi w:val="0"/>
              <w:spacing w:before="0" w:after="283"/>
              <w:jc w:val="left"/>
              <w:rPr/>
            </w:pPr>
            <w:r>
              <w:rPr/>
              <w:t> </w:t>
            </w:r>
            <w:bookmarkStart w:id="721" w:name="xdx_98D_ecustom--SharebasedCompensationA"/>
            <w:bookmarkEnd w:id="721"/>
          </w:p>
        </w:tc>
        <w:tc>
          <w:tcPr>
            <w:tcW w:w="1356" w:type="dxa"/>
            <w:tcBorders/>
            <w:shd w:fill="CCEEFF" w:val="clear"/>
            <w:vAlign w:val="center"/>
          </w:tcPr>
          <w:p>
            <w:pPr>
              <w:pStyle w:val="TableContents"/>
              <w:bidi w:val="0"/>
              <w:spacing w:before="0" w:after="283"/>
              <w:jc w:val="right"/>
              <w:rPr/>
            </w:pPr>
            <w:r>
              <w:rPr/>
              <w:t>9.0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w:t>
            </w:r>
            <w:bookmarkStart w:id="722" w:name="xdx_983_eus-gaap--SharebasedCompensation"/>
            <w:bookmarkEnd w:id="722"/>
          </w:p>
        </w:tc>
        <w:tc>
          <w:tcPr>
            <w:tcW w:w="1135" w:type="dxa"/>
            <w:tcBorders/>
            <w:shd w:fill="CCEEFF" w:val="clear"/>
            <w:vAlign w:val="center"/>
          </w:tcPr>
          <w:p>
            <w:pPr>
              <w:pStyle w:val="TableContents"/>
              <w:bidi w:val="0"/>
              <w:spacing w:before="0" w:after="283"/>
              <w:jc w:val="right"/>
              <w:rPr/>
            </w:pPr>
            <w:r>
              <w:rPr/>
              <w:t>14,040,120</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bookmarkStart w:id="723" w:name="xdx_8A3_zH7lW4yLQqWi"/>
      <w:bookmarkEnd w:id="723"/>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aggregate intrinsic value in the preceding tables represents the total pretax intrinsic value, based on options with an exercise price less than the stock price of the Company of $</w:t>
      </w:r>
      <w:bookmarkStart w:id="724" w:name="xdx_903_eus-gaap--ShareBasedCompensation"/>
      <w:bookmarkEnd w:id="724"/>
      <w:r>
        <w:rPr>
          <w:rFonts w:ascii="Times New Roman;Times;Serif" w:hAnsi="Times New Roman;Times;Serif"/>
          <w:b w:val="false"/>
          <w:i w:val="false"/>
          <w:caps w:val="false"/>
          <w:smallCaps w:val="false"/>
          <w:sz w:val="20"/>
        </w:rPr>
        <w:t>5.76 as of September 30, 2025, which would have been received by the option holders had those option holders exercised their options as of that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fair value of all options vesting during the three and nine months ended September 30, 2025 of $</w:t>
      </w:r>
      <w:bookmarkStart w:id="725" w:name="xdx_908_eus-gaap--SharebasedCompensation"/>
      <w:bookmarkEnd w:id="725"/>
      <w:r>
        <w:rPr>
          <w:rFonts w:ascii="Times New Roman;Times;Serif" w:hAnsi="Times New Roman;Times;Serif"/>
          <w:b w:val="false"/>
          <w:i w:val="false"/>
          <w:caps w:val="false"/>
          <w:smallCaps w:val="false"/>
          <w:sz w:val="20"/>
        </w:rPr>
        <w:t>0 and $</w:t>
      </w:r>
      <w:bookmarkStart w:id="726" w:name="xdx_909_eus-gaap--SharebasedCompensation"/>
      <w:bookmarkEnd w:id="726"/>
      <w:r>
        <w:rPr>
          <w:rFonts w:ascii="Times New Roman;Times;Serif" w:hAnsi="Times New Roman;Times;Serif"/>
          <w:b w:val="false"/>
          <w:i w:val="false"/>
          <w:caps w:val="false"/>
          <w:smallCaps w:val="false"/>
          <w:sz w:val="20"/>
        </w:rPr>
        <w:t>1,076,015, respectively, was charged to current period operations. The fair value of all options vesting during the three and nine months ended September 30, 2024 of $</w:t>
      </w:r>
      <w:bookmarkStart w:id="727" w:name="xdx_90F_ecustom--SharebasedCompensationA"/>
      <w:bookmarkEnd w:id="727"/>
      <w:r>
        <w:rPr>
          <w:rFonts w:ascii="Times New Roman;Times;Serif" w:hAnsi="Times New Roman;Times;Serif"/>
          <w:b w:val="false"/>
          <w:i w:val="false"/>
          <w:caps w:val="false"/>
          <w:smallCaps w:val="false"/>
          <w:sz w:val="20"/>
        </w:rPr>
        <w:t>498,445 and $</w:t>
      </w:r>
      <w:bookmarkStart w:id="728" w:name="xdx_901_ecustom--SharebasedCompensationA"/>
      <w:bookmarkEnd w:id="728"/>
      <w:r>
        <w:rPr>
          <w:rFonts w:ascii="Times New Roman;Times;Serif" w:hAnsi="Times New Roman;Times;Serif"/>
          <w:b w:val="false"/>
          <w:i w:val="false"/>
          <w:caps w:val="false"/>
          <w:smallCaps w:val="false"/>
          <w:sz w:val="20"/>
        </w:rPr>
        <w:t>655,863, respectively, was charged to current period operations. As of September 30, 2025, there was no unrecognized compensation expense related to stock options.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23, 2025, in connection with the Company’s acquisition of Streamex Exchange, the Company entered into an amendment to the Executive Employment Agreement with Anthony Amato, its former Chief Executive Officer. Pursuant to the amendment, all previously granted equity awards to Mr. Amato—including vested and unvested stock options—were accelerated and deemed fully vested and nonforfeitable as of May 28, 2025. In addition, the post-resignation exercise period for all vested options was extended to the later of the original expiration date or 36 months following the transaction closing.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of this modification, the Company recognized incremental stock-based compensation expense of $</w:t>
      </w:r>
      <w:bookmarkStart w:id="729" w:name="xdx_90A_eus-gaap--EmployeeBenefitsAndSha"/>
      <w:bookmarkEnd w:id="729"/>
      <w:r>
        <w:rPr>
          <w:rFonts w:ascii="Times New Roman;Times;Serif" w:hAnsi="Times New Roman;Times;Serif"/>
          <w:b w:val="false"/>
          <w:i w:val="false"/>
          <w:caps w:val="false"/>
          <w:smallCaps w:val="false"/>
          <w:sz w:val="20"/>
        </w:rPr>
        <w:t>0 and $</w:t>
      </w:r>
      <w:bookmarkStart w:id="730" w:name="xdx_901_eus-gaap--EmployeeBenefitsAndSha"/>
      <w:bookmarkEnd w:id="730"/>
      <w:r>
        <w:rPr>
          <w:rFonts w:ascii="Times New Roman;Times;Serif" w:hAnsi="Times New Roman;Times;Serif"/>
          <w:b w:val="false"/>
          <w:i w:val="false"/>
          <w:caps w:val="false"/>
          <w:smallCaps w:val="false"/>
          <w:sz w:val="20"/>
        </w:rPr>
        <w:t>450,820 during the three and nine months ended September 30, 2025, which is included in the total expense disclosed above. No unrecognized compensation expense remains related to Mr. Amato’s equity awards as of September 30,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731" w:name="xdx_896_eus-gaap--ScheduleOfShareBasedPa"/>
      <w:bookmarkEnd w:id="731"/>
      <w:r>
        <w:rPr>
          <w:rFonts w:ascii="Times New Roman;Times;Serif" w:hAnsi="Times New Roman;Times;Serif"/>
          <w:b w:val="false"/>
          <w:i w:val="false"/>
          <w:caps w:val="false"/>
          <w:smallCaps w:val="false"/>
          <w:sz w:val="20"/>
        </w:rPr>
        <w:t>During the nine months ended September 30, 2025, the Company granted options to purchase shares of its common stock, which were valued using the Black-Scholes option pricing model. The following assumptions were used to calculate the fair value of the options granted:</w:t>
      </w:r>
    </w:p>
    <w:p>
      <w:pPr>
        <w:pStyle w:val="TextBody"/>
        <w:bidi w:val="0"/>
        <w:spacing w:before="0" w:after="0"/>
        <w:ind w:left="0" w:right="0" w:hanging="0"/>
        <w:jc w:val="both"/>
        <w:rPr>
          <w:caps w:val="false"/>
          <w:smallCaps w:val="false"/>
        </w:rPr>
      </w:pPr>
      <w:r>
        <w:rPr>
          <w:caps w:val="false"/>
          <w:smallCaps w:val="false"/>
        </w:rPr>
        <w:t> </w:t>
      </w:r>
      <w:bookmarkStart w:id="732" w:name="xdx_8BE_zQDQqAPO7Mr5"/>
      <w:bookmarkEnd w:id="732"/>
      <w:r>
        <w:rPr>
          <w:rFonts w:ascii="Times New Roman;Times;Serif" w:hAnsi="Times New Roman;Times;Serif"/>
          <w:b w:val="false"/>
          <w:i w:val="false"/>
          <w:caps w:val="false"/>
          <w:smallCaps w:val="false"/>
          <w:sz w:val="20"/>
        </w:rPr>
        <w:t>SCHEDULE OF OPTIONS GRANTED ASSUMPTIONS USING BLACK-SCHOLES OPTION</w:t>
      </w:r>
    </w:p>
    <w:tbl>
      <w:tblPr>
        <w:tblW w:w="4790" w:type="dxa"/>
        <w:jc w:val="left"/>
        <w:tblInd w:w="0" w:type="dxa"/>
        <w:tblLayout w:type="fixed"/>
        <w:tblCellMar>
          <w:top w:w="0" w:type="dxa"/>
          <w:left w:w="0" w:type="dxa"/>
          <w:bottom w:w="28" w:type="dxa"/>
          <w:right w:w="0" w:type="dxa"/>
        </w:tblCellMar>
      </w:tblPr>
      <w:tblGrid>
        <w:gridCol w:w="3680"/>
        <w:gridCol w:w="60"/>
        <w:gridCol w:w="140"/>
        <w:gridCol w:w="680"/>
        <w:gridCol w:w="230"/>
      </w:tblGrid>
      <w:tr>
        <w:trPr/>
        <w:tc>
          <w:tcPr>
            <w:tcW w:w="3680" w:type="dxa"/>
            <w:tcBorders>
              <w:bottom w:val="single" w:sz="8" w:space="0" w:color="000000"/>
            </w:tcBorders>
            <w:vAlign w:val="center"/>
          </w:tcPr>
          <w:p>
            <w:pPr>
              <w:pStyle w:val="TableContents"/>
              <w:bidi w:val="0"/>
              <w:spacing w:before="0" w:after="283"/>
              <w:jc w:val="center"/>
              <w:rPr>
                <w:b/>
              </w:rPr>
            </w:pPr>
            <w:r>
              <w:rPr>
                <w:b/>
              </w:rPr>
              <w:t>Assumption</w:t>
            </w:r>
          </w:p>
        </w:tc>
        <w:tc>
          <w:tcPr>
            <w:tcW w:w="60" w:type="dxa"/>
            <w:tcBorders/>
            <w:tcMar>
              <w:bottom w:w="0" w:type="dxa"/>
            </w:tcMar>
            <w:vAlign w:val="center"/>
          </w:tcPr>
          <w:p>
            <w:pPr>
              <w:pStyle w:val="TableContents"/>
              <w:bidi w:val="0"/>
              <w:spacing w:before="0" w:after="283"/>
              <w:jc w:val="left"/>
              <w:rPr/>
            </w:pPr>
            <w:r>
              <w:rPr/>
              <w:t> </w:t>
            </w:r>
          </w:p>
        </w:tc>
        <w:tc>
          <w:tcPr>
            <w:tcW w:w="820" w:type="dxa"/>
            <w:gridSpan w:val="2"/>
            <w:tcBorders>
              <w:bottom w:val="single" w:sz="8" w:space="0" w:color="000000"/>
            </w:tcBorders>
            <w:vAlign w:val="center"/>
          </w:tcPr>
          <w:p>
            <w:pPr>
              <w:pStyle w:val="TableContents"/>
              <w:bidi w:val="0"/>
              <w:spacing w:before="0" w:after="283"/>
              <w:jc w:val="center"/>
              <w:rPr>
                <w:b/>
              </w:rPr>
            </w:pPr>
            <w:r>
              <w:rPr>
                <w:b/>
              </w:rPr>
              <w:t>Value</w:t>
            </w:r>
          </w:p>
        </w:tc>
        <w:tc>
          <w:tcPr>
            <w:tcW w:w="230" w:type="dxa"/>
            <w:tcBorders/>
            <w:tcMar>
              <w:bottom w:w="0" w:type="dxa"/>
            </w:tcMar>
            <w:vAlign w:val="center"/>
          </w:tcPr>
          <w:p>
            <w:pPr>
              <w:pStyle w:val="TableContents"/>
              <w:bidi w:val="0"/>
              <w:spacing w:before="0" w:after="283"/>
              <w:jc w:val="left"/>
              <w:rPr/>
            </w:pPr>
            <w:r>
              <w:rPr/>
              <w:t> </w:t>
            </w:r>
          </w:p>
        </w:tc>
      </w:tr>
      <w:tr>
        <w:trPr/>
        <w:tc>
          <w:tcPr>
            <w:tcW w:w="3680" w:type="dxa"/>
            <w:tcBorders/>
            <w:shd w:fill="CCEEFF" w:val="clear"/>
            <w:tcMar>
              <w:bottom w:w="0" w:type="dxa"/>
            </w:tcMar>
            <w:vAlign w:val="center"/>
          </w:tcPr>
          <w:p>
            <w:pPr>
              <w:pStyle w:val="TableContents"/>
              <w:bidi w:val="0"/>
              <w:spacing w:before="0" w:after="283"/>
              <w:jc w:val="left"/>
              <w:rPr/>
            </w:pPr>
            <w:r>
              <w:rPr/>
              <w:t>Weighted average grant date fair value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680" w:type="dxa"/>
            <w:tcBorders/>
            <w:shd w:fill="CCEEFF" w:val="clear"/>
            <w:tcMar>
              <w:bottom w:w="0" w:type="dxa"/>
            </w:tcMar>
            <w:vAlign w:val="center"/>
          </w:tcPr>
          <w:p>
            <w:pPr>
              <w:pStyle w:val="TableContents"/>
              <w:bidi w:val="0"/>
              <w:spacing w:before="0" w:after="283"/>
              <w:jc w:val="right"/>
              <w:rPr/>
            </w:pPr>
            <w:bookmarkStart w:id="733" w:name="xdx_900_eus-gaap--DerivativeLiabilityMea"/>
            <w:bookmarkEnd w:id="733"/>
            <w:r>
              <w:rPr/>
              <w:t>0.80</w:t>
            </w:r>
          </w:p>
        </w:tc>
        <w:tc>
          <w:tcPr>
            <w:tcW w:w="230" w:type="dxa"/>
            <w:tcBorders/>
            <w:shd w:fill="CCEEFF" w:val="clear"/>
            <w:tcMar>
              <w:bottom w:w="0" w:type="dxa"/>
            </w:tcMar>
            <w:vAlign w:val="center"/>
          </w:tcPr>
          <w:p>
            <w:pPr>
              <w:pStyle w:val="TableContents"/>
              <w:bidi w:val="0"/>
              <w:spacing w:before="0" w:after="283"/>
              <w:jc w:val="left"/>
              <w:rPr/>
            </w:pPr>
            <w:r>
              <w:rPr/>
              <w:t> </w:t>
            </w:r>
          </w:p>
        </w:tc>
      </w:tr>
      <w:tr>
        <w:trPr/>
        <w:tc>
          <w:tcPr>
            <w:tcW w:w="3680" w:type="dxa"/>
            <w:tcBorders/>
            <w:shd w:fill="FFFFFF" w:val="clear"/>
            <w:tcMar>
              <w:bottom w:w="0" w:type="dxa"/>
            </w:tcMar>
            <w:vAlign w:val="center"/>
          </w:tcPr>
          <w:p>
            <w:pPr>
              <w:pStyle w:val="TableContents"/>
              <w:bidi w:val="0"/>
              <w:spacing w:before="0" w:after="283"/>
              <w:jc w:val="both"/>
              <w:rPr/>
            </w:pPr>
            <w:r>
              <w:rPr/>
              <w:t>Expected volatility</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680" w:type="dxa"/>
            <w:tcBorders/>
            <w:shd w:fill="FFFFFF" w:val="clear"/>
            <w:tcMar>
              <w:bottom w:w="0" w:type="dxa"/>
            </w:tcMar>
            <w:vAlign w:val="center"/>
          </w:tcPr>
          <w:p>
            <w:pPr>
              <w:pStyle w:val="TableContents"/>
              <w:bidi w:val="0"/>
              <w:spacing w:before="0" w:after="283"/>
              <w:jc w:val="right"/>
              <w:rPr/>
            </w:pPr>
            <w:bookmarkStart w:id="734" w:name="xdx_909_eus-gaap--DerivativeLiabilityMea"/>
            <w:bookmarkEnd w:id="734"/>
            <w:r>
              <w:rPr/>
              <w:t>122.43</w:t>
            </w:r>
          </w:p>
        </w:tc>
        <w:tc>
          <w:tcPr>
            <w:tcW w:w="230" w:type="dxa"/>
            <w:tcBorders/>
            <w:shd w:fill="FFFFFF" w:val="clear"/>
            <w:tcMar>
              <w:bottom w:w="0" w:type="dxa"/>
            </w:tcMar>
            <w:vAlign w:val="center"/>
          </w:tcPr>
          <w:p>
            <w:pPr>
              <w:pStyle w:val="TableContents"/>
              <w:bidi w:val="0"/>
              <w:spacing w:before="0" w:after="283"/>
              <w:jc w:val="left"/>
              <w:rPr/>
            </w:pPr>
            <w:r>
              <w:rPr/>
              <w:t>%</w:t>
            </w:r>
          </w:p>
        </w:tc>
      </w:tr>
      <w:tr>
        <w:trPr/>
        <w:tc>
          <w:tcPr>
            <w:tcW w:w="3680" w:type="dxa"/>
            <w:tcBorders/>
            <w:shd w:fill="CCEEFF" w:val="clear"/>
            <w:tcMar>
              <w:bottom w:w="0" w:type="dxa"/>
            </w:tcMar>
            <w:vAlign w:val="center"/>
          </w:tcPr>
          <w:p>
            <w:pPr>
              <w:pStyle w:val="TableContents"/>
              <w:bidi w:val="0"/>
              <w:spacing w:before="0" w:after="283"/>
              <w:jc w:val="both"/>
              <w:rPr/>
            </w:pPr>
            <w:r>
              <w:rPr/>
              <w:t>Risk-free interest rate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680" w:type="dxa"/>
            <w:tcBorders/>
            <w:shd w:fill="CCEEFF" w:val="clear"/>
            <w:tcMar>
              <w:bottom w:w="0" w:type="dxa"/>
            </w:tcMar>
            <w:vAlign w:val="center"/>
          </w:tcPr>
          <w:p>
            <w:pPr>
              <w:pStyle w:val="TableContents"/>
              <w:bidi w:val="0"/>
              <w:spacing w:before="0" w:after="283"/>
              <w:jc w:val="right"/>
              <w:rPr/>
            </w:pPr>
            <w:bookmarkStart w:id="735" w:name="xdx_90C_eus-gaap--DerivativeLiabilityMea"/>
            <w:bookmarkEnd w:id="735"/>
            <w:r>
              <w:rPr/>
              <w:t>4.32</w:t>
            </w:r>
          </w:p>
        </w:tc>
        <w:tc>
          <w:tcPr>
            <w:tcW w:w="230" w:type="dxa"/>
            <w:tcBorders/>
            <w:shd w:fill="CCEEFF" w:val="clear"/>
            <w:tcMar>
              <w:bottom w:w="0" w:type="dxa"/>
            </w:tcMar>
            <w:vAlign w:val="center"/>
          </w:tcPr>
          <w:p>
            <w:pPr>
              <w:pStyle w:val="TableContents"/>
              <w:bidi w:val="0"/>
              <w:spacing w:before="0" w:after="283"/>
              <w:jc w:val="left"/>
              <w:rPr/>
            </w:pPr>
            <w:r>
              <w:rPr/>
              <w:t>%</w:t>
            </w:r>
          </w:p>
        </w:tc>
      </w:tr>
      <w:tr>
        <w:trPr/>
        <w:tc>
          <w:tcPr>
            <w:tcW w:w="3680" w:type="dxa"/>
            <w:tcBorders/>
            <w:shd w:fill="FFFFFF" w:val="clear"/>
            <w:tcMar>
              <w:bottom w:w="0" w:type="dxa"/>
            </w:tcMar>
            <w:vAlign w:val="center"/>
          </w:tcPr>
          <w:p>
            <w:pPr>
              <w:pStyle w:val="TableContents"/>
              <w:bidi w:val="0"/>
              <w:spacing w:before="0" w:after="283"/>
              <w:jc w:val="both"/>
              <w:rPr/>
            </w:pPr>
            <w:r>
              <w:rPr/>
              <w:t>Expected dividend yield</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680" w:type="dxa"/>
            <w:tcBorders/>
            <w:shd w:fill="FFFFFF" w:val="clear"/>
            <w:tcMar>
              <w:bottom w:w="0" w:type="dxa"/>
            </w:tcMar>
            <w:vAlign w:val="center"/>
          </w:tcPr>
          <w:p>
            <w:pPr>
              <w:pStyle w:val="TableContents"/>
              <w:bidi w:val="0"/>
              <w:spacing w:before="0" w:after="283"/>
              <w:jc w:val="right"/>
              <w:rPr/>
            </w:pPr>
            <w:bookmarkStart w:id="736" w:name="xdx_905_eus-gaap--DerivativeLiabilityMea"/>
            <w:bookmarkEnd w:id="736"/>
            <w:r>
              <w:rPr/>
              <w:t>0.00</w:t>
            </w:r>
          </w:p>
        </w:tc>
        <w:tc>
          <w:tcPr>
            <w:tcW w:w="230" w:type="dxa"/>
            <w:tcBorders/>
            <w:shd w:fill="FFFFFF" w:val="clear"/>
            <w:tcMar>
              <w:bottom w:w="0" w:type="dxa"/>
            </w:tcMar>
            <w:vAlign w:val="center"/>
          </w:tcPr>
          <w:p>
            <w:pPr>
              <w:pStyle w:val="TableContents"/>
              <w:bidi w:val="0"/>
              <w:spacing w:before="0" w:after="283"/>
              <w:jc w:val="left"/>
              <w:rPr/>
            </w:pPr>
            <w:r>
              <w:rPr/>
              <w:t>%</w:t>
            </w:r>
          </w:p>
        </w:tc>
      </w:tr>
      <w:tr>
        <w:trPr/>
        <w:tc>
          <w:tcPr>
            <w:tcW w:w="3680" w:type="dxa"/>
            <w:tcBorders/>
            <w:shd w:fill="CCEEFF" w:val="clear"/>
            <w:tcMar>
              <w:bottom w:w="0" w:type="dxa"/>
            </w:tcMar>
            <w:vAlign w:val="center"/>
          </w:tcPr>
          <w:p>
            <w:pPr>
              <w:pStyle w:val="TableContents"/>
              <w:bidi w:val="0"/>
              <w:spacing w:before="0" w:after="283"/>
              <w:jc w:val="both"/>
              <w:rPr/>
            </w:pPr>
            <w:r>
              <w:rPr/>
              <w:t>Expected Term (in years)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680" w:type="dxa"/>
            <w:tcBorders/>
            <w:shd w:fill="CCEEFF" w:val="clear"/>
            <w:tcMar>
              <w:bottom w:w="0" w:type="dxa"/>
            </w:tcMar>
            <w:vAlign w:val="center"/>
          </w:tcPr>
          <w:p>
            <w:pPr>
              <w:pStyle w:val="TableContents"/>
              <w:bidi w:val="0"/>
              <w:spacing w:before="0" w:after="283"/>
              <w:jc w:val="right"/>
              <w:rPr/>
            </w:pPr>
            <w:bookmarkStart w:id="737" w:name="xdx_901_eus-gaap--DerivativeTermOfContra"/>
            <w:bookmarkEnd w:id="737"/>
            <w:r>
              <w:rPr/>
              <w:t>10.0</w:t>
            </w:r>
          </w:p>
        </w:tc>
        <w:tc>
          <w:tcPr>
            <w:tcW w:w="230"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738" w:name="xdx_8A6_zE5HD5M3GTC9"/>
      <w:bookmarkEnd w:id="738"/>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18</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STREAMEX CORP.</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THE CONDENSED CONSOLIDATED FINANCIAL STATEMENTS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SEPTEMBER 30, 2025 </w:t>
      </w:r>
      <w:r>
        <w:rPr>
          <w:rFonts w:ascii="Times New Roman;Times;Serif" w:hAnsi="Times New Roman;Times;Serif"/>
          <w:b/>
          <w:i/>
          <w:caps w:val="false"/>
          <w:smallCaps w:val="false"/>
          <w:sz w:val="20"/>
        </w:rPr>
        <w:t>(</w:t>
      </w:r>
      <w:r>
        <w:rPr>
          <w:rFonts w:ascii="Times New Roman;Times;Serif" w:hAnsi="Times New Roman;Times;Serif"/>
          <w:b/>
          <w:i w:val="false"/>
          <w:caps w:val="false"/>
          <w:smallCaps w:val="false"/>
          <w:sz w:val="20"/>
        </w:rPr>
        <w:t>Unaudited</w:t>
      </w:r>
      <w:r>
        <w:rPr>
          <w:rFonts w:ascii="Times New Roman;Times;Serif" w:hAnsi="Times New Roman;Times;Serif"/>
          <w:b/>
          <w:i/>
          <w:caps w:val="false"/>
          <w:smallCaps w:val="false"/>
          <w:sz w:val="20"/>
        </w:rPr>
        <w: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Warrants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739" w:name="xdx_892_ecustom--ScheduleOfWarrantsOrRig"/>
      <w:bookmarkEnd w:id="739"/>
      <w:r>
        <w:rPr>
          <w:rFonts w:ascii="Times New Roman;Times;Serif" w:hAnsi="Times New Roman;Times;Serif"/>
          <w:b w:val="false"/>
          <w:i w:val="false"/>
          <w:caps w:val="false"/>
          <w:smallCaps w:val="false"/>
          <w:sz w:val="20"/>
        </w:rPr>
        <w:t>The following table summarizes information with respect to outstanding warrants to purchase common stock of Streamex Corp. as of September 30, 2025:</w:t>
      </w:r>
    </w:p>
    <w:p>
      <w:pPr>
        <w:pStyle w:val="TextBody"/>
        <w:bidi w:val="0"/>
        <w:spacing w:before="0" w:after="0"/>
        <w:ind w:left="0" w:right="0" w:hanging="0"/>
        <w:jc w:val="both"/>
        <w:rPr>
          <w:caps w:val="false"/>
          <w:smallCaps w:val="false"/>
        </w:rPr>
      </w:pPr>
      <w:r>
        <w:rPr>
          <w:caps w:val="false"/>
          <w:smallCaps w:val="false"/>
        </w:rPr>
        <w:t> </w:t>
      </w:r>
      <w:bookmarkStart w:id="740" w:name="xdx_8B5_zWspikCU5wJj"/>
      <w:bookmarkEnd w:id="740"/>
      <w:r>
        <w:rPr>
          <w:rFonts w:ascii="Times New Roman;Times;Serif" w:hAnsi="Times New Roman;Times;Serif"/>
          <w:b w:val="false"/>
          <w:i w:val="false"/>
          <w:caps w:val="false"/>
          <w:smallCaps w:val="false"/>
          <w:sz w:val="20"/>
        </w:rPr>
        <w:t>SCHEDULE OF INFORMATION RELATED TO WARRANTS</w:t>
      </w:r>
    </w:p>
    <w:tbl>
      <w:tblPr>
        <w:tblW w:w="5368" w:type="dxa"/>
        <w:jc w:val="left"/>
        <w:tblInd w:w="0" w:type="dxa"/>
        <w:tblLayout w:type="fixed"/>
        <w:tblCellMar>
          <w:top w:w="0" w:type="dxa"/>
          <w:left w:w="0" w:type="dxa"/>
          <w:bottom w:w="28" w:type="dxa"/>
          <w:right w:w="0" w:type="dxa"/>
        </w:tblCellMar>
      </w:tblPr>
      <w:tblGrid>
        <w:gridCol w:w="239"/>
        <w:gridCol w:w="1235"/>
        <w:gridCol w:w="60"/>
        <w:gridCol w:w="60"/>
        <w:gridCol w:w="114"/>
        <w:gridCol w:w="1870"/>
        <w:gridCol w:w="60"/>
        <w:gridCol w:w="60"/>
        <w:gridCol w:w="1670"/>
      </w:tblGrid>
      <w:tr>
        <w:trPr/>
        <w:tc>
          <w:tcPr>
            <w:tcW w:w="1474" w:type="dxa"/>
            <w:gridSpan w:val="2"/>
            <w:tcBorders>
              <w:bottom w:val="single" w:sz="8" w:space="0" w:color="000000"/>
            </w:tcBorders>
            <w:vAlign w:val="center"/>
          </w:tcPr>
          <w:p>
            <w:pPr>
              <w:pStyle w:val="TableContents"/>
              <w:bidi w:val="0"/>
              <w:spacing w:before="0" w:after="283"/>
              <w:jc w:val="center"/>
              <w:rPr>
                <w:b/>
              </w:rPr>
            </w:pPr>
            <w:r>
              <w:rPr>
                <w:b/>
              </w:rPr>
              <w:t>Exercise Price</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984" w:type="dxa"/>
            <w:gridSpan w:val="2"/>
            <w:tcBorders>
              <w:bottom w:val="single" w:sz="8" w:space="0" w:color="000000"/>
            </w:tcBorders>
            <w:vAlign w:val="center"/>
          </w:tcPr>
          <w:p>
            <w:pPr>
              <w:pStyle w:val="TableContents"/>
              <w:bidi w:val="0"/>
              <w:spacing w:before="0" w:after="283"/>
              <w:jc w:val="center"/>
              <w:rPr>
                <w:b/>
              </w:rPr>
            </w:pPr>
            <w:r>
              <w:rPr>
                <w:b/>
              </w:rPr>
              <w:t>Number of Options</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670" w:type="dxa"/>
            <w:tcBorders>
              <w:bottom w:val="single" w:sz="8" w:space="0" w:color="000000"/>
            </w:tcBorders>
            <w:vAlign w:val="center"/>
          </w:tcPr>
          <w:p>
            <w:pPr>
              <w:pStyle w:val="TableContents"/>
              <w:bidi w:val="0"/>
              <w:spacing w:before="0" w:after="283"/>
              <w:jc w:val="center"/>
              <w:rPr>
                <w:b/>
              </w:rPr>
            </w:pPr>
            <w:r>
              <w:rPr>
                <w:b/>
              </w:rPr>
              <w:t>Expiration Date</w:t>
            </w:r>
          </w:p>
        </w:tc>
      </w:tr>
      <w:tr>
        <w:trPr/>
        <w:tc>
          <w:tcPr>
            <w:tcW w:w="239" w:type="dxa"/>
            <w:tcBorders/>
            <w:shd w:fill="CCEEFF" w:val="clear"/>
            <w:tcMar>
              <w:bottom w:w="0" w:type="dxa"/>
            </w:tcMar>
            <w:vAlign w:val="center"/>
          </w:tcPr>
          <w:p>
            <w:pPr>
              <w:pStyle w:val="TableContents"/>
              <w:bidi w:val="0"/>
              <w:spacing w:before="0" w:after="283"/>
              <w:jc w:val="left"/>
              <w:rPr/>
            </w:pPr>
            <w:r>
              <w:rPr/>
              <w:t>$</w:t>
            </w:r>
            <w:bookmarkStart w:id="741" w:name="xdx_982_eus-gaap--ClassOfWarrantOrRightE"/>
            <w:bookmarkEnd w:id="741"/>
          </w:p>
        </w:tc>
        <w:tc>
          <w:tcPr>
            <w:tcW w:w="1235" w:type="dxa"/>
            <w:tcBorders/>
            <w:shd w:fill="CCEEFF" w:val="clear"/>
            <w:tcMar>
              <w:bottom w:w="0" w:type="dxa"/>
            </w:tcMar>
            <w:vAlign w:val="center"/>
          </w:tcPr>
          <w:p>
            <w:pPr>
              <w:pStyle w:val="TableContents"/>
              <w:bidi w:val="0"/>
              <w:spacing w:before="0" w:after="283"/>
              <w:jc w:val="right"/>
              <w:rPr/>
            </w:pPr>
            <w:r>
              <w:rPr/>
              <w:t>0.3000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4" w:type="dxa"/>
            <w:tcBorders/>
            <w:shd w:fill="CCEEFF" w:val="clear"/>
            <w:tcMar>
              <w:bottom w:w="0" w:type="dxa"/>
            </w:tcMar>
            <w:vAlign w:val="center"/>
          </w:tcPr>
          <w:p>
            <w:pPr>
              <w:pStyle w:val="TableContents"/>
              <w:bidi w:val="0"/>
              <w:spacing w:before="0" w:after="283"/>
              <w:jc w:val="left"/>
              <w:rPr/>
            </w:pPr>
            <w:r>
              <w:rPr/>
              <w:t> </w:t>
            </w:r>
            <w:bookmarkStart w:id="742" w:name="xdx_98A_eus-gaap--ClassOfWarrantOrRightO"/>
            <w:bookmarkEnd w:id="742"/>
          </w:p>
        </w:tc>
        <w:tc>
          <w:tcPr>
            <w:tcW w:w="1870" w:type="dxa"/>
            <w:tcBorders/>
            <w:shd w:fill="CCEEFF" w:val="clear"/>
            <w:tcMar>
              <w:bottom w:w="0" w:type="dxa"/>
            </w:tcMar>
            <w:vAlign w:val="center"/>
          </w:tcPr>
          <w:p>
            <w:pPr>
              <w:pStyle w:val="TableContents"/>
              <w:bidi w:val="0"/>
              <w:spacing w:before="0" w:after="283"/>
              <w:jc w:val="right"/>
              <w:rPr/>
            </w:pPr>
            <w:r>
              <w:rPr/>
              <w:t>11,982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bookmarkStart w:id="743" w:name="xdx_989_ecustom--WarrantsExpirationDateD"/>
            <w:bookmarkEnd w:id="743"/>
          </w:p>
        </w:tc>
        <w:tc>
          <w:tcPr>
            <w:tcW w:w="1670" w:type="dxa"/>
            <w:tcBorders/>
            <w:shd w:fill="CCEEFF" w:val="clear"/>
            <w:tcMar>
              <w:bottom w:w="0" w:type="dxa"/>
            </w:tcMar>
            <w:vAlign w:val="center"/>
          </w:tcPr>
          <w:p>
            <w:pPr>
              <w:pStyle w:val="TableContents"/>
              <w:bidi w:val="0"/>
              <w:spacing w:before="0" w:after="283"/>
              <w:jc w:val="center"/>
              <w:rPr/>
            </w:pPr>
            <w:r>
              <w:rPr/>
              <w:t>Nov-29</w:t>
            </w:r>
          </w:p>
        </w:tc>
      </w:tr>
      <w:tr>
        <w:trPr/>
        <w:tc>
          <w:tcPr>
            <w:tcW w:w="239" w:type="dxa"/>
            <w:tcBorders/>
            <w:shd w:fill="FFFFFF" w:val="clear"/>
            <w:tcMar>
              <w:bottom w:w="0" w:type="dxa"/>
            </w:tcMar>
            <w:vAlign w:val="center"/>
          </w:tcPr>
          <w:p>
            <w:pPr>
              <w:pStyle w:val="TableContents"/>
              <w:bidi w:val="0"/>
              <w:spacing w:before="0" w:after="283"/>
              <w:jc w:val="left"/>
              <w:rPr/>
            </w:pPr>
            <w:r>
              <w:rPr/>
              <w:t> </w:t>
            </w:r>
            <w:bookmarkStart w:id="744" w:name="xdx_98F_eus-gaap--ClassOfWarrantOrRightE"/>
            <w:bookmarkEnd w:id="744"/>
          </w:p>
        </w:tc>
        <w:tc>
          <w:tcPr>
            <w:tcW w:w="1235" w:type="dxa"/>
            <w:tcBorders/>
            <w:shd w:fill="FFFFFF" w:val="clear"/>
            <w:tcMar>
              <w:bottom w:w="0" w:type="dxa"/>
            </w:tcMar>
            <w:vAlign w:val="center"/>
          </w:tcPr>
          <w:p>
            <w:pPr>
              <w:pStyle w:val="TableContents"/>
              <w:bidi w:val="0"/>
              <w:spacing w:before="0" w:after="283"/>
              <w:jc w:val="right"/>
              <w:rPr/>
            </w:pPr>
            <w:r>
              <w:rPr/>
              <w:t>0.9547</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4" w:type="dxa"/>
            <w:tcBorders/>
            <w:shd w:fill="FFFFFF" w:val="clear"/>
            <w:tcMar>
              <w:bottom w:w="0" w:type="dxa"/>
            </w:tcMar>
            <w:vAlign w:val="center"/>
          </w:tcPr>
          <w:p>
            <w:pPr>
              <w:pStyle w:val="TableContents"/>
              <w:bidi w:val="0"/>
              <w:spacing w:before="0" w:after="283"/>
              <w:jc w:val="left"/>
              <w:rPr/>
            </w:pPr>
            <w:r>
              <w:rPr/>
              <w:t> </w:t>
            </w:r>
            <w:bookmarkStart w:id="745" w:name="xdx_989_eus-gaap--ClassOfWarrantOrRightO"/>
            <w:bookmarkEnd w:id="745"/>
          </w:p>
        </w:tc>
        <w:tc>
          <w:tcPr>
            <w:tcW w:w="1870" w:type="dxa"/>
            <w:tcBorders/>
            <w:shd w:fill="FFFFFF" w:val="clear"/>
            <w:tcMar>
              <w:bottom w:w="0" w:type="dxa"/>
            </w:tcMar>
            <w:vAlign w:val="center"/>
          </w:tcPr>
          <w:p>
            <w:pPr>
              <w:pStyle w:val="TableContents"/>
              <w:bidi w:val="0"/>
              <w:spacing w:before="0" w:after="283"/>
              <w:jc w:val="right"/>
              <w:rPr/>
            </w:pPr>
            <w:r>
              <w:rPr/>
              <w:t>665,900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bookmarkStart w:id="746" w:name="xdx_983_ecustom--WarrantsExpirationDateD"/>
            <w:bookmarkEnd w:id="746"/>
          </w:p>
        </w:tc>
        <w:tc>
          <w:tcPr>
            <w:tcW w:w="1670" w:type="dxa"/>
            <w:tcBorders/>
            <w:shd w:fill="FFFFFF" w:val="clear"/>
            <w:tcMar>
              <w:bottom w:w="0" w:type="dxa"/>
            </w:tcMar>
            <w:vAlign w:val="center"/>
          </w:tcPr>
          <w:p>
            <w:pPr>
              <w:pStyle w:val="TableContents"/>
              <w:bidi w:val="0"/>
              <w:spacing w:before="0" w:after="283"/>
              <w:jc w:val="center"/>
              <w:rPr/>
            </w:pPr>
            <w:r>
              <w:rPr/>
              <w:t>Sep-28</w:t>
            </w:r>
          </w:p>
        </w:tc>
      </w:tr>
      <w:tr>
        <w:trPr/>
        <w:tc>
          <w:tcPr>
            <w:tcW w:w="239" w:type="dxa"/>
            <w:tcBorders/>
            <w:shd w:fill="CCEEFF" w:val="clear"/>
            <w:tcMar>
              <w:bottom w:w="0" w:type="dxa"/>
            </w:tcMar>
            <w:vAlign w:val="center"/>
          </w:tcPr>
          <w:p>
            <w:pPr>
              <w:pStyle w:val="TableContents"/>
              <w:bidi w:val="0"/>
              <w:spacing w:before="0" w:after="283"/>
              <w:jc w:val="left"/>
              <w:rPr/>
            </w:pPr>
            <w:r>
              <w:rPr/>
              <w:t> </w:t>
            </w:r>
            <w:bookmarkStart w:id="747" w:name="xdx_98F_eus-gaap--ClassOfWarrantOrRightE"/>
            <w:bookmarkEnd w:id="747"/>
          </w:p>
        </w:tc>
        <w:tc>
          <w:tcPr>
            <w:tcW w:w="1235" w:type="dxa"/>
            <w:tcBorders/>
            <w:shd w:fill="CCEEFF" w:val="clear"/>
            <w:tcMar>
              <w:bottom w:w="0" w:type="dxa"/>
            </w:tcMar>
            <w:vAlign w:val="center"/>
          </w:tcPr>
          <w:p>
            <w:pPr>
              <w:pStyle w:val="TableContents"/>
              <w:bidi w:val="0"/>
              <w:spacing w:before="0" w:after="283"/>
              <w:jc w:val="right"/>
              <w:rPr/>
            </w:pPr>
            <w:r>
              <w:rPr/>
              <w:t>1.7800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4" w:type="dxa"/>
            <w:tcBorders/>
            <w:shd w:fill="CCEEFF" w:val="clear"/>
            <w:tcMar>
              <w:bottom w:w="0" w:type="dxa"/>
            </w:tcMar>
            <w:vAlign w:val="center"/>
          </w:tcPr>
          <w:p>
            <w:pPr>
              <w:pStyle w:val="TableContents"/>
              <w:bidi w:val="0"/>
              <w:spacing w:before="0" w:after="283"/>
              <w:jc w:val="left"/>
              <w:rPr/>
            </w:pPr>
            <w:r>
              <w:rPr/>
              <w:t> </w:t>
            </w:r>
            <w:bookmarkStart w:id="748" w:name="xdx_980_eus-gaap--ClassOfWarrantOrRightO"/>
            <w:bookmarkEnd w:id="748"/>
          </w:p>
        </w:tc>
        <w:tc>
          <w:tcPr>
            <w:tcW w:w="1870" w:type="dxa"/>
            <w:tcBorders/>
            <w:shd w:fill="CCEEFF" w:val="clear"/>
            <w:tcMar>
              <w:bottom w:w="0" w:type="dxa"/>
            </w:tcMar>
            <w:vAlign w:val="center"/>
          </w:tcPr>
          <w:p>
            <w:pPr>
              <w:pStyle w:val="TableContents"/>
              <w:bidi w:val="0"/>
              <w:spacing w:before="0" w:after="283"/>
              <w:jc w:val="right"/>
              <w:rPr/>
            </w:pPr>
            <w:r>
              <w:rPr/>
              <w:t>523,561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bookmarkStart w:id="749" w:name="xdx_985_ecustom--WarrantsExpirationDateD"/>
            <w:bookmarkEnd w:id="749"/>
          </w:p>
        </w:tc>
        <w:tc>
          <w:tcPr>
            <w:tcW w:w="1670" w:type="dxa"/>
            <w:tcBorders/>
            <w:shd w:fill="CCEEFF" w:val="clear"/>
            <w:tcMar>
              <w:bottom w:w="0" w:type="dxa"/>
            </w:tcMar>
            <w:vAlign w:val="center"/>
          </w:tcPr>
          <w:p>
            <w:pPr>
              <w:pStyle w:val="TableContents"/>
              <w:bidi w:val="0"/>
              <w:spacing w:before="0" w:after="283"/>
              <w:jc w:val="center"/>
              <w:rPr/>
            </w:pPr>
            <w:r>
              <w:rPr/>
              <w:t>May-29</w:t>
            </w:r>
          </w:p>
        </w:tc>
      </w:tr>
      <w:tr>
        <w:trPr/>
        <w:tc>
          <w:tcPr>
            <w:tcW w:w="239" w:type="dxa"/>
            <w:tcBorders/>
            <w:shd w:fill="FFFFFF" w:val="clear"/>
            <w:tcMar>
              <w:bottom w:w="0" w:type="dxa"/>
            </w:tcMar>
            <w:vAlign w:val="center"/>
          </w:tcPr>
          <w:p>
            <w:pPr>
              <w:pStyle w:val="TableContents"/>
              <w:bidi w:val="0"/>
              <w:spacing w:before="0" w:after="283"/>
              <w:jc w:val="left"/>
              <w:rPr/>
            </w:pPr>
            <w:r>
              <w:rPr/>
              <w:t> </w:t>
            </w:r>
            <w:bookmarkStart w:id="750" w:name="xdx_98C_eus-gaap--ClassOfWarrantOrRightE"/>
            <w:bookmarkEnd w:id="750"/>
          </w:p>
        </w:tc>
        <w:tc>
          <w:tcPr>
            <w:tcW w:w="1235" w:type="dxa"/>
            <w:tcBorders/>
            <w:shd w:fill="FFFFFF" w:val="clear"/>
            <w:tcMar>
              <w:bottom w:w="0" w:type="dxa"/>
            </w:tcMar>
            <w:vAlign w:val="center"/>
          </w:tcPr>
          <w:p>
            <w:pPr>
              <w:pStyle w:val="TableContents"/>
              <w:bidi w:val="0"/>
              <w:spacing w:before="0" w:after="283"/>
              <w:jc w:val="right"/>
              <w:rPr/>
            </w:pPr>
            <w:r>
              <w:rPr/>
              <w:t>2.3875</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4" w:type="dxa"/>
            <w:tcBorders/>
            <w:shd w:fill="FFFFFF" w:val="clear"/>
            <w:tcMar>
              <w:bottom w:w="0" w:type="dxa"/>
            </w:tcMar>
            <w:vAlign w:val="center"/>
          </w:tcPr>
          <w:p>
            <w:pPr>
              <w:pStyle w:val="TableContents"/>
              <w:bidi w:val="0"/>
              <w:spacing w:before="0" w:after="283"/>
              <w:jc w:val="left"/>
              <w:rPr/>
            </w:pPr>
            <w:r>
              <w:rPr/>
              <w:t> </w:t>
            </w:r>
            <w:bookmarkStart w:id="751" w:name="xdx_982_eus-gaap--ClassOfWarrantOrRightO"/>
            <w:bookmarkEnd w:id="751"/>
          </w:p>
        </w:tc>
        <w:tc>
          <w:tcPr>
            <w:tcW w:w="1870" w:type="dxa"/>
            <w:tcBorders/>
            <w:shd w:fill="FFFFFF" w:val="clear"/>
            <w:tcMar>
              <w:bottom w:w="0" w:type="dxa"/>
            </w:tcMar>
            <w:vAlign w:val="center"/>
          </w:tcPr>
          <w:p>
            <w:pPr>
              <w:pStyle w:val="TableContents"/>
              <w:bidi w:val="0"/>
              <w:spacing w:before="0" w:after="283"/>
              <w:jc w:val="right"/>
              <w:rPr/>
            </w:pPr>
            <w:r>
              <w:rPr/>
              <w:t>106,237</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bookmarkStart w:id="752" w:name="xdx_98F_ecustom--WarrantsExpirationDateD"/>
            <w:bookmarkEnd w:id="752"/>
          </w:p>
        </w:tc>
        <w:tc>
          <w:tcPr>
            <w:tcW w:w="1670" w:type="dxa"/>
            <w:tcBorders/>
            <w:shd w:fill="FFFFFF" w:val="clear"/>
            <w:tcMar>
              <w:bottom w:w="0" w:type="dxa"/>
            </w:tcMar>
            <w:vAlign w:val="center"/>
          </w:tcPr>
          <w:p>
            <w:pPr>
              <w:pStyle w:val="TableContents"/>
              <w:bidi w:val="0"/>
              <w:spacing w:before="0" w:after="283"/>
              <w:jc w:val="center"/>
              <w:rPr/>
            </w:pPr>
            <w:r>
              <w:rPr/>
              <w:t>May-29</w:t>
            </w:r>
          </w:p>
        </w:tc>
      </w:tr>
      <w:tr>
        <w:trPr/>
        <w:tc>
          <w:tcPr>
            <w:tcW w:w="239" w:type="dxa"/>
            <w:tcBorders/>
            <w:shd w:fill="CCEEFF" w:val="clear"/>
            <w:tcMar>
              <w:bottom w:w="0" w:type="dxa"/>
            </w:tcMar>
            <w:vAlign w:val="center"/>
          </w:tcPr>
          <w:p>
            <w:pPr>
              <w:pStyle w:val="TableContents"/>
              <w:bidi w:val="0"/>
              <w:spacing w:before="0" w:after="283"/>
              <w:jc w:val="left"/>
              <w:rPr/>
            </w:pPr>
            <w:r>
              <w:rPr/>
              <w:t> </w:t>
            </w:r>
            <w:bookmarkStart w:id="753" w:name="xdx_98D_eus-gaap--ClassOfWarrantOrRightE"/>
            <w:bookmarkEnd w:id="753"/>
          </w:p>
        </w:tc>
        <w:tc>
          <w:tcPr>
            <w:tcW w:w="1235" w:type="dxa"/>
            <w:tcBorders/>
            <w:shd w:fill="CCEEFF" w:val="clear"/>
            <w:tcMar>
              <w:bottom w:w="0" w:type="dxa"/>
            </w:tcMar>
            <w:vAlign w:val="center"/>
          </w:tcPr>
          <w:p>
            <w:pPr>
              <w:pStyle w:val="TableContents"/>
              <w:bidi w:val="0"/>
              <w:spacing w:before="0" w:after="283"/>
              <w:jc w:val="right"/>
              <w:rPr/>
            </w:pPr>
            <w:r>
              <w:rPr/>
              <w:t>3.3640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4" w:type="dxa"/>
            <w:tcBorders/>
            <w:shd w:fill="CCEEFF" w:val="clear"/>
            <w:tcMar>
              <w:bottom w:w="0" w:type="dxa"/>
            </w:tcMar>
            <w:vAlign w:val="center"/>
          </w:tcPr>
          <w:p>
            <w:pPr>
              <w:pStyle w:val="TableContents"/>
              <w:bidi w:val="0"/>
              <w:spacing w:before="0" w:after="283"/>
              <w:jc w:val="left"/>
              <w:rPr/>
            </w:pPr>
            <w:r>
              <w:rPr/>
              <w:t> </w:t>
            </w:r>
            <w:bookmarkStart w:id="754" w:name="xdx_984_eus-gaap--ClassOfWarrantOrRightO"/>
            <w:bookmarkEnd w:id="754"/>
          </w:p>
        </w:tc>
        <w:tc>
          <w:tcPr>
            <w:tcW w:w="1870" w:type="dxa"/>
            <w:tcBorders/>
            <w:shd w:fill="CCEEFF" w:val="clear"/>
            <w:tcMar>
              <w:bottom w:w="0" w:type="dxa"/>
            </w:tcMar>
            <w:vAlign w:val="center"/>
          </w:tcPr>
          <w:p>
            <w:pPr>
              <w:pStyle w:val="TableContents"/>
              <w:bidi w:val="0"/>
              <w:spacing w:before="0" w:after="283"/>
              <w:jc w:val="right"/>
              <w:rPr/>
            </w:pPr>
            <w:r>
              <w:rPr/>
              <w:t>117,828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bookmarkStart w:id="755" w:name="xdx_984_ecustom--WarrantsExpirationDateD"/>
            <w:bookmarkEnd w:id="755"/>
          </w:p>
        </w:tc>
        <w:tc>
          <w:tcPr>
            <w:tcW w:w="1670" w:type="dxa"/>
            <w:tcBorders/>
            <w:shd w:fill="CCEEFF" w:val="clear"/>
            <w:tcMar>
              <w:bottom w:w="0" w:type="dxa"/>
            </w:tcMar>
            <w:vAlign w:val="center"/>
          </w:tcPr>
          <w:p>
            <w:pPr>
              <w:pStyle w:val="TableContents"/>
              <w:bidi w:val="0"/>
              <w:spacing w:before="0" w:after="283"/>
              <w:jc w:val="center"/>
              <w:rPr/>
            </w:pPr>
            <w:r>
              <w:rPr/>
              <w:t>Jul-29</w:t>
            </w:r>
          </w:p>
        </w:tc>
      </w:tr>
      <w:tr>
        <w:trPr/>
        <w:tc>
          <w:tcPr>
            <w:tcW w:w="239" w:type="dxa"/>
            <w:tcBorders/>
            <w:shd w:fill="FFFFFF" w:val="clear"/>
            <w:tcMar>
              <w:bottom w:w="0" w:type="dxa"/>
            </w:tcMar>
            <w:vAlign w:val="center"/>
          </w:tcPr>
          <w:p>
            <w:pPr>
              <w:pStyle w:val="TableContents"/>
              <w:bidi w:val="0"/>
              <w:spacing w:before="0" w:after="283"/>
              <w:jc w:val="left"/>
              <w:rPr/>
            </w:pPr>
            <w:r>
              <w:rPr/>
              <w:t> </w:t>
            </w:r>
            <w:bookmarkStart w:id="756" w:name="xdx_982_eus-gaap--ClassOfWarrantOrRightE"/>
            <w:bookmarkEnd w:id="756"/>
          </w:p>
        </w:tc>
        <w:tc>
          <w:tcPr>
            <w:tcW w:w="1235" w:type="dxa"/>
            <w:tcBorders/>
            <w:shd w:fill="FFFFFF" w:val="clear"/>
            <w:tcMar>
              <w:bottom w:w="0" w:type="dxa"/>
            </w:tcMar>
            <w:vAlign w:val="center"/>
          </w:tcPr>
          <w:p>
            <w:pPr>
              <w:pStyle w:val="TableContents"/>
              <w:bidi w:val="0"/>
              <w:spacing w:before="0" w:after="283"/>
              <w:jc w:val="right"/>
              <w:rPr/>
            </w:pPr>
            <w:r>
              <w:rPr/>
              <w:t>4.0660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4" w:type="dxa"/>
            <w:tcBorders/>
            <w:shd w:fill="FFFFFF" w:val="clear"/>
            <w:tcMar>
              <w:bottom w:w="0" w:type="dxa"/>
            </w:tcMar>
            <w:vAlign w:val="center"/>
          </w:tcPr>
          <w:p>
            <w:pPr>
              <w:pStyle w:val="TableContents"/>
              <w:bidi w:val="0"/>
              <w:spacing w:before="0" w:after="283"/>
              <w:jc w:val="left"/>
              <w:rPr/>
            </w:pPr>
            <w:r>
              <w:rPr/>
              <w:t> </w:t>
            </w:r>
            <w:bookmarkStart w:id="757" w:name="xdx_982_eus-gaap--ClassOfWarrantOrRightO"/>
            <w:bookmarkEnd w:id="757"/>
          </w:p>
        </w:tc>
        <w:tc>
          <w:tcPr>
            <w:tcW w:w="1870" w:type="dxa"/>
            <w:tcBorders/>
            <w:shd w:fill="FFFFFF" w:val="clear"/>
            <w:tcMar>
              <w:bottom w:w="0" w:type="dxa"/>
            </w:tcMar>
            <w:vAlign w:val="center"/>
          </w:tcPr>
          <w:p>
            <w:pPr>
              <w:pStyle w:val="TableContents"/>
              <w:bidi w:val="0"/>
              <w:spacing w:before="0" w:after="283"/>
              <w:jc w:val="right"/>
              <w:rPr/>
            </w:pPr>
            <w:r>
              <w:rPr/>
              <w:t>25,000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bookmarkStart w:id="758" w:name="xdx_981_ecustom--WarrantsExpirationDateD"/>
            <w:bookmarkEnd w:id="758"/>
          </w:p>
        </w:tc>
        <w:tc>
          <w:tcPr>
            <w:tcW w:w="1670" w:type="dxa"/>
            <w:tcBorders/>
            <w:shd w:fill="FFFFFF" w:val="clear"/>
            <w:tcMar>
              <w:bottom w:w="0" w:type="dxa"/>
            </w:tcMar>
            <w:vAlign w:val="center"/>
          </w:tcPr>
          <w:p>
            <w:pPr>
              <w:pStyle w:val="TableContents"/>
              <w:bidi w:val="0"/>
              <w:spacing w:before="0" w:after="283"/>
              <w:jc w:val="center"/>
              <w:rPr/>
            </w:pPr>
            <w:r>
              <w:rPr/>
              <w:t>Nov-32</w:t>
            </w:r>
          </w:p>
        </w:tc>
      </w:tr>
      <w:tr>
        <w:trPr/>
        <w:tc>
          <w:tcPr>
            <w:tcW w:w="239" w:type="dxa"/>
            <w:tcBorders/>
            <w:shd w:fill="CCEEFF" w:val="clear"/>
            <w:tcMar>
              <w:bottom w:w="0" w:type="dxa"/>
            </w:tcMar>
            <w:vAlign w:val="center"/>
          </w:tcPr>
          <w:p>
            <w:pPr>
              <w:pStyle w:val="TableContents"/>
              <w:bidi w:val="0"/>
              <w:spacing w:before="0" w:after="283"/>
              <w:jc w:val="left"/>
              <w:rPr/>
            </w:pPr>
            <w:r>
              <w:rPr/>
              <w:t> </w:t>
            </w:r>
            <w:bookmarkStart w:id="759" w:name="xdx_98F_eus-gaap--ClassOfWarrantOrRightE"/>
            <w:bookmarkEnd w:id="759"/>
          </w:p>
        </w:tc>
        <w:tc>
          <w:tcPr>
            <w:tcW w:w="1235" w:type="dxa"/>
            <w:tcBorders/>
            <w:shd w:fill="CCEEFF" w:val="clear"/>
            <w:tcMar>
              <w:bottom w:w="0" w:type="dxa"/>
            </w:tcMar>
            <w:vAlign w:val="center"/>
          </w:tcPr>
          <w:p>
            <w:pPr>
              <w:pStyle w:val="TableContents"/>
              <w:bidi w:val="0"/>
              <w:spacing w:before="0" w:after="283"/>
              <w:jc w:val="right"/>
              <w:rPr/>
            </w:pPr>
            <w:r>
              <w:rPr/>
              <w:t>4.4550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4" w:type="dxa"/>
            <w:tcBorders/>
            <w:shd w:fill="CCEEFF" w:val="clear"/>
            <w:tcMar>
              <w:bottom w:w="0" w:type="dxa"/>
            </w:tcMar>
            <w:vAlign w:val="center"/>
          </w:tcPr>
          <w:p>
            <w:pPr>
              <w:pStyle w:val="TableContents"/>
              <w:bidi w:val="0"/>
              <w:spacing w:before="0" w:after="283"/>
              <w:jc w:val="left"/>
              <w:rPr/>
            </w:pPr>
            <w:r>
              <w:rPr/>
              <w:t> </w:t>
            </w:r>
            <w:bookmarkStart w:id="760" w:name="xdx_987_eus-gaap--ClassOfWarrantOrRightO"/>
            <w:bookmarkEnd w:id="760"/>
          </w:p>
        </w:tc>
        <w:tc>
          <w:tcPr>
            <w:tcW w:w="1870" w:type="dxa"/>
            <w:tcBorders/>
            <w:shd w:fill="CCEEFF" w:val="clear"/>
            <w:tcMar>
              <w:bottom w:w="0" w:type="dxa"/>
            </w:tcMar>
            <w:vAlign w:val="center"/>
          </w:tcPr>
          <w:p>
            <w:pPr>
              <w:pStyle w:val="TableContents"/>
              <w:bidi w:val="0"/>
              <w:spacing w:before="0" w:after="283"/>
              <w:jc w:val="right"/>
              <w:rPr/>
            </w:pPr>
            <w:r>
              <w:rPr/>
              <w:t>107,483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bookmarkStart w:id="761" w:name="xdx_982_ecustom--WarrantsExpirationDateD"/>
            <w:bookmarkEnd w:id="761"/>
          </w:p>
        </w:tc>
        <w:tc>
          <w:tcPr>
            <w:tcW w:w="1670" w:type="dxa"/>
            <w:tcBorders/>
            <w:shd w:fill="CCEEFF" w:val="clear"/>
            <w:tcMar>
              <w:bottom w:w="0" w:type="dxa"/>
            </w:tcMar>
            <w:vAlign w:val="center"/>
          </w:tcPr>
          <w:p>
            <w:pPr>
              <w:pStyle w:val="TableContents"/>
              <w:bidi w:val="0"/>
              <w:spacing w:before="0" w:after="283"/>
              <w:jc w:val="center"/>
              <w:rPr/>
            </w:pPr>
            <w:r>
              <w:rPr/>
              <w:t>Jun-28</w:t>
            </w:r>
          </w:p>
        </w:tc>
      </w:tr>
      <w:tr>
        <w:trPr/>
        <w:tc>
          <w:tcPr>
            <w:tcW w:w="239" w:type="dxa"/>
            <w:tcBorders/>
            <w:shd w:fill="FFFFFF" w:val="clear"/>
            <w:tcMar>
              <w:bottom w:w="0" w:type="dxa"/>
            </w:tcMar>
            <w:vAlign w:val="center"/>
          </w:tcPr>
          <w:p>
            <w:pPr>
              <w:pStyle w:val="TableContents"/>
              <w:bidi w:val="0"/>
              <w:spacing w:before="0" w:after="283"/>
              <w:jc w:val="left"/>
              <w:rPr/>
            </w:pPr>
            <w:r>
              <w:rPr/>
              <w:t> </w:t>
            </w:r>
            <w:bookmarkStart w:id="762" w:name="xdx_988_eus-gaap--ClassOfWarrantOrRightE"/>
            <w:bookmarkEnd w:id="762"/>
          </w:p>
        </w:tc>
        <w:tc>
          <w:tcPr>
            <w:tcW w:w="1235" w:type="dxa"/>
            <w:tcBorders/>
            <w:shd w:fill="FFFFFF" w:val="clear"/>
            <w:tcMar>
              <w:bottom w:w="0" w:type="dxa"/>
            </w:tcMar>
            <w:vAlign w:val="center"/>
          </w:tcPr>
          <w:p>
            <w:pPr>
              <w:pStyle w:val="TableContents"/>
              <w:bidi w:val="0"/>
              <w:spacing w:before="0" w:after="283"/>
              <w:jc w:val="right"/>
              <w:rPr/>
            </w:pPr>
            <w:r>
              <w:rPr/>
              <w:t>4.4660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4" w:type="dxa"/>
            <w:tcBorders/>
            <w:shd w:fill="FFFFFF" w:val="clear"/>
            <w:tcMar>
              <w:bottom w:w="0" w:type="dxa"/>
            </w:tcMar>
            <w:vAlign w:val="center"/>
          </w:tcPr>
          <w:p>
            <w:pPr>
              <w:pStyle w:val="TableContents"/>
              <w:bidi w:val="0"/>
              <w:spacing w:before="0" w:after="283"/>
              <w:jc w:val="left"/>
              <w:rPr/>
            </w:pPr>
            <w:r>
              <w:rPr/>
              <w:t> </w:t>
            </w:r>
            <w:bookmarkStart w:id="763" w:name="xdx_985_eus-gaap--ClassOfWarrantOrRightO"/>
            <w:bookmarkEnd w:id="763"/>
          </w:p>
        </w:tc>
        <w:tc>
          <w:tcPr>
            <w:tcW w:w="1870" w:type="dxa"/>
            <w:tcBorders/>
            <w:shd w:fill="FFFFFF" w:val="clear"/>
            <w:tcMar>
              <w:bottom w:w="0" w:type="dxa"/>
            </w:tcMar>
            <w:vAlign w:val="center"/>
          </w:tcPr>
          <w:p>
            <w:pPr>
              <w:pStyle w:val="TableContents"/>
              <w:bidi w:val="0"/>
              <w:spacing w:before="0" w:after="283"/>
              <w:jc w:val="right"/>
              <w:rPr/>
            </w:pPr>
            <w:r>
              <w:rPr/>
              <w:t>48,980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bookmarkStart w:id="764" w:name="xdx_980_ecustom--WarrantsExpirationDateD"/>
            <w:bookmarkEnd w:id="764"/>
          </w:p>
        </w:tc>
        <w:tc>
          <w:tcPr>
            <w:tcW w:w="1670" w:type="dxa"/>
            <w:tcBorders/>
            <w:shd w:fill="FFFFFF" w:val="clear"/>
            <w:tcMar>
              <w:bottom w:w="0" w:type="dxa"/>
            </w:tcMar>
            <w:vAlign w:val="center"/>
          </w:tcPr>
          <w:p>
            <w:pPr>
              <w:pStyle w:val="TableContents"/>
              <w:bidi w:val="0"/>
              <w:spacing w:before="0" w:after="283"/>
              <w:jc w:val="center"/>
              <w:rPr/>
            </w:pPr>
            <w:r>
              <w:rPr/>
              <w:t>Nov-28</w:t>
            </w:r>
          </w:p>
        </w:tc>
      </w:tr>
      <w:tr>
        <w:trPr/>
        <w:tc>
          <w:tcPr>
            <w:tcW w:w="239" w:type="dxa"/>
            <w:tcBorders/>
            <w:shd w:fill="CCEEFF" w:val="clear"/>
            <w:tcMar>
              <w:bottom w:w="0" w:type="dxa"/>
            </w:tcMar>
            <w:vAlign w:val="center"/>
          </w:tcPr>
          <w:p>
            <w:pPr>
              <w:pStyle w:val="TableContents"/>
              <w:bidi w:val="0"/>
              <w:spacing w:before="0" w:after="283"/>
              <w:jc w:val="left"/>
              <w:rPr/>
            </w:pPr>
            <w:r>
              <w:rPr/>
              <w:t> </w:t>
            </w:r>
            <w:bookmarkStart w:id="765" w:name="xdx_987_eus-gaap--ClassOfWarrantOrRightE"/>
            <w:bookmarkEnd w:id="765"/>
          </w:p>
        </w:tc>
        <w:tc>
          <w:tcPr>
            <w:tcW w:w="1235" w:type="dxa"/>
            <w:tcBorders/>
            <w:shd w:fill="CCEEFF" w:val="clear"/>
            <w:tcMar>
              <w:bottom w:w="0" w:type="dxa"/>
            </w:tcMar>
            <w:vAlign w:val="center"/>
          </w:tcPr>
          <w:p>
            <w:pPr>
              <w:pStyle w:val="TableContents"/>
              <w:bidi w:val="0"/>
              <w:spacing w:before="0" w:after="283"/>
              <w:jc w:val="right"/>
              <w:rPr/>
            </w:pPr>
            <w:r>
              <w:rPr/>
              <w:t>4.6626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4" w:type="dxa"/>
            <w:tcBorders/>
            <w:shd w:fill="CCEEFF" w:val="clear"/>
            <w:tcMar>
              <w:bottom w:w="0" w:type="dxa"/>
            </w:tcMar>
            <w:vAlign w:val="center"/>
          </w:tcPr>
          <w:p>
            <w:pPr>
              <w:pStyle w:val="TableContents"/>
              <w:bidi w:val="0"/>
              <w:spacing w:before="0" w:after="283"/>
              <w:jc w:val="left"/>
              <w:rPr/>
            </w:pPr>
            <w:r>
              <w:rPr/>
              <w:t> </w:t>
            </w:r>
            <w:bookmarkStart w:id="766" w:name="xdx_989_eus-gaap--ClassOfWarrantOrRightO"/>
            <w:bookmarkEnd w:id="766"/>
          </w:p>
        </w:tc>
        <w:tc>
          <w:tcPr>
            <w:tcW w:w="1870" w:type="dxa"/>
            <w:tcBorders/>
            <w:shd w:fill="CCEEFF" w:val="clear"/>
            <w:tcMar>
              <w:bottom w:w="0" w:type="dxa"/>
            </w:tcMar>
            <w:vAlign w:val="center"/>
          </w:tcPr>
          <w:p>
            <w:pPr>
              <w:pStyle w:val="TableContents"/>
              <w:bidi w:val="0"/>
              <w:spacing w:before="0" w:after="283"/>
              <w:jc w:val="right"/>
              <w:rPr/>
            </w:pPr>
            <w:r>
              <w:rPr/>
              <w:t>5,580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bookmarkStart w:id="767" w:name="xdx_984_ecustom--WarrantsExpirationDateD"/>
            <w:bookmarkEnd w:id="767"/>
          </w:p>
        </w:tc>
        <w:tc>
          <w:tcPr>
            <w:tcW w:w="1670" w:type="dxa"/>
            <w:tcBorders/>
            <w:shd w:fill="CCEEFF" w:val="clear"/>
            <w:tcMar>
              <w:bottom w:w="0" w:type="dxa"/>
            </w:tcMar>
            <w:vAlign w:val="center"/>
          </w:tcPr>
          <w:p>
            <w:pPr>
              <w:pStyle w:val="TableContents"/>
              <w:bidi w:val="0"/>
              <w:spacing w:before="0" w:after="283"/>
              <w:jc w:val="center"/>
              <w:rPr/>
            </w:pPr>
            <w:r>
              <w:rPr/>
              <w:t>Apr-29</w:t>
            </w:r>
          </w:p>
        </w:tc>
      </w:tr>
      <w:tr>
        <w:trPr/>
        <w:tc>
          <w:tcPr>
            <w:tcW w:w="239" w:type="dxa"/>
            <w:tcBorders/>
            <w:shd w:fill="FFFFFF" w:val="clear"/>
            <w:tcMar>
              <w:bottom w:w="0" w:type="dxa"/>
            </w:tcMar>
            <w:vAlign w:val="center"/>
          </w:tcPr>
          <w:p>
            <w:pPr>
              <w:pStyle w:val="TableContents"/>
              <w:bidi w:val="0"/>
              <w:spacing w:before="0" w:after="283"/>
              <w:jc w:val="left"/>
              <w:rPr/>
            </w:pPr>
            <w:r>
              <w:rPr/>
              <w:t> </w:t>
            </w:r>
            <w:bookmarkStart w:id="768" w:name="xdx_98D_eus-gaap--ClassOfWarrantOrRightE"/>
            <w:bookmarkEnd w:id="768"/>
          </w:p>
        </w:tc>
        <w:tc>
          <w:tcPr>
            <w:tcW w:w="1235" w:type="dxa"/>
            <w:tcBorders/>
            <w:shd w:fill="FFFFFF" w:val="clear"/>
            <w:tcMar>
              <w:bottom w:w="0" w:type="dxa"/>
            </w:tcMar>
            <w:vAlign w:val="center"/>
          </w:tcPr>
          <w:p>
            <w:pPr>
              <w:pStyle w:val="TableContents"/>
              <w:bidi w:val="0"/>
              <w:spacing w:before="0" w:after="283"/>
              <w:jc w:val="right"/>
              <w:rPr/>
            </w:pPr>
            <w:r>
              <w:rPr/>
              <w:t>4.9252</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4" w:type="dxa"/>
            <w:tcBorders/>
            <w:shd w:fill="FFFFFF" w:val="clear"/>
            <w:tcMar>
              <w:bottom w:w="0" w:type="dxa"/>
            </w:tcMar>
            <w:vAlign w:val="center"/>
          </w:tcPr>
          <w:p>
            <w:pPr>
              <w:pStyle w:val="TableContents"/>
              <w:bidi w:val="0"/>
              <w:spacing w:before="0" w:after="283"/>
              <w:jc w:val="left"/>
              <w:rPr/>
            </w:pPr>
            <w:r>
              <w:rPr/>
              <w:t> </w:t>
            </w:r>
            <w:bookmarkStart w:id="769" w:name="xdx_98A_eus-gaap--ClassOfWarrantOrRightO"/>
            <w:bookmarkEnd w:id="769"/>
          </w:p>
        </w:tc>
        <w:tc>
          <w:tcPr>
            <w:tcW w:w="1870" w:type="dxa"/>
            <w:tcBorders/>
            <w:shd w:fill="FFFFFF" w:val="clear"/>
            <w:tcMar>
              <w:bottom w:w="0" w:type="dxa"/>
            </w:tcMar>
            <w:vAlign w:val="center"/>
          </w:tcPr>
          <w:p>
            <w:pPr>
              <w:pStyle w:val="TableContents"/>
              <w:bidi w:val="0"/>
              <w:spacing w:before="0" w:after="283"/>
              <w:jc w:val="right"/>
              <w:rPr/>
            </w:pPr>
            <w:r>
              <w:rPr/>
              <w:t>49,550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bookmarkStart w:id="770" w:name="xdx_989_ecustom--WarrantsExpirationDateD"/>
            <w:bookmarkEnd w:id="770"/>
          </w:p>
        </w:tc>
        <w:tc>
          <w:tcPr>
            <w:tcW w:w="1670" w:type="dxa"/>
            <w:tcBorders/>
            <w:shd w:fill="FFFFFF" w:val="clear"/>
            <w:tcMar>
              <w:bottom w:w="0" w:type="dxa"/>
            </w:tcMar>
            <w:vAlign w:val="center"/>
          </w:tcPr>
          <w:p>
            <w:pPr>
              <w:pStyle w:val="TableContents"/>
              <w:bidi w:val="0"/>
              <w:spacing w:before="0" w:after="283"/>
              <w:jc w:val="center"/>
              <w:rPr/>
            </w:pPr>
            <w:r>
              <w:rPr/>
              <w:t>Mar-29</w:t>
            </w:r>
          </w:p>
        </w:tc>
      </w:tr>
      <w:tr>
        <w:trPr/>
        <w:tc>
          <w:tcPr>
            <w:tcW w:w="239" w:type="dxa"/>
            <w:tcBorders/>
            <w:shd w:fill="CCEEFF" w:val="clear"/>
            <w:tcMar>
              <w:bottom w:w="0" w:type="dxa"/>
            </w:tcMar>
            <w:vAlign w:val="center"/>
          </w:tcPr>
          <w:p>
            <w:pPr>
              <w:pStyle w:val="TableContents"/>
              <w:bidi w:val="0"/>
              <w:spacing w:before="0" w:after="283"/>
              <w:jc w:val="left"/>
              <w:rPr/>
            </w:pPr>
            <w:r>
              <w:rPr/>
              <w:t> </w:t>
            </w:r>
            <w:bookmarkStart w:id="771" w:name="xdx_98E_eus-gaap--ClassOfWarrantOrRightE"/>
            <w:bookmarkEnd w:id="771"/>
          </w:p>
        </w:tc>
        <w:tc>
          <w:tcPr>
            <w:tcW w:w="1235" w:type="dxa"/>
            <w:tcBorders/>
            <w:shd w:fill="CCEEFF" w:val="clear"/>
            <w:tcMar>
              <w:bottom w:w="0" w:type="dxa"/>
            </w:tcMar>
            <w:vAlign w:val="center"/>
          </w:tcPr>
          <w:p>
            <w:pPr>
              <w:pStyle w:val="TableContents"/>
              <w:bidi w:val="0"/>
              <w:spacing w:before="0" w:after="283"/>
              <w:jc w:val="right"/>
              <w:rPr/>
            </w:pPr>
            <w:r>
              <w:rPr/>
              <w:t>4.9290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4" w:type="dxa"/>
            <w:tcBorders/>
            <w:shd w:fill="CCEEFF" w:val="clear"/>
            <w:tcMar>
              <w:bottom w:w="0" w:type="dxa"/>
            </w:tcMar>
            <w:vAlign w:val="center"/>
          </w:tcPr>
          <w:p>
            <w:pPr>
              <w:pStyle w:val="TableContents"/>
              <w:bidi w:val="0"/>
              <w:spacing w:before="0" w:after="283"/>
              <w:jc w:val="left"/>
              <w:rPr/>
            </w:pPr>
            <w:r>
              <w:rPr/>
              <w:t> </w:t>
            </w:r>
            <w:bookmarkStart w:id="772" w:name="xdx_980_eus-gaap--ClassOfWarrantOrRightO"/>
            <w:bookmarkEnd w:id="772"/>
          </w:p>
        </w:tc>
        <w:tc>
          <w:tcPr>
            <w:tcW w:w="1870" w:type="dxa"/>
            <w:tcBorders/>
            <w:shd w:fill="CCEEFF" w:val="clear"/>
            <w:tcMar>
              <w:bottom w:w="0" w:type="dxa"/>
            </w:tcMar>
            <w:vAlign w:val="center"/>
          </w:tcPr>
          <w:p>
            <w:pPr>
              <w:pStyle w:val="TableContents"/>
              <w:bidi w:val="0"/>
              <w:spacing w:before="0" w:after="283"/>
              <w:jc w:val="right"/>
              <w:rPr/>
            </w:pPr>
            <w:r>
              <w:rPr/>
              <w:t>71,593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bookmarkStart w:id="773" w:name="xdx_98F_ecustom--WarrantsExpirationDateD"/>
            <w:bookmarkEnd w:id="773"/>
          </w:p>
        </w:tc>
        <w:tc>
          <w:tcPr>
            <w:tcW w:w="1670" w:type="dxa"/>
            <w:tcBorders/>
            <w:shd w:fill="CCEEFF" w:val="clear"/>
            <w:tcMar>
              <w:bottom w:w="0" w:type="dxa"/>
            </w:tcMar>
            <w:vAlign w:val="center"/>
          </w:tcPr>
          <w:p>
            <w:pPr>
              <w:pStyle w:val="TableContents"/>
              <w:bidi w:val="0"/>
              <w:spacing w:before="0" w:after="283"/>
              <w:jc w:val="center"/>
              <w:rPr/>
            </w:pPr>
            <w:r>
              <w:rPr/>
              <w:t>Mar-29</w:t>
            </w:r>
          </w:p>
        </w:tc>
      </w:tr>
      <w:tr>
        <w:trPr/>
        <w:tc>
          <w:tcPr>
            <w:tcW w:w="239" w:type="dxa"/>
            <w:tcBorders/>
            <w:shd w:fill="FFFFFF" w:val="clear"/>
            <w:tcMar>
              <w:bottom w:w="0" w:type="dxa"/>
            </w:tcMar>
            <w:vAlign w:val="center"/>
          </w:tcPr>
          <w:p>
            <w:pPr>
              <w:pStyle w:val="TableContents"/>
              <w:bidi w:val="0"/>
              <w:spacing w:before="0" w:after="283"/>
              <w:jc w:val="left"/>
              <w:rPr/>
            </w:pPr>
            <w:r>
              <w:rPr/>
              <w:t> </w:t>
            </w:r>
            <w:bookmarkStart w:id="774" w:name="xdx_980_eus-gaap--ClassOfWarrantOrRightE"/>
            <w:bookmarkEnd w:id="774"/>
          </w:p>
        </w:tc>
        <w:tc>
          <w:tcPr>
            <w:tcW w:w="1235" w:type="dxa"/>
            <w:tcBorders/>
            <w:shd w:fill="FFFFFF" w:val="clear"/>
            <w:tcMar>
              <w:bottom w:w="0" w:type="dxa"/>
            </w:tcMar>
            <w:vAlign w:val="center"/>
          </w:tcPr>
          <w:p>
            <w:pPr>
              <w:pStyle w:val="TableContents"/>
              <w:bidi w:val="0"/>
              <w:spacing w:before="0" w:after="283"/>
              <w:jc w:val="right"/>
              <w:rPr/>
            </w:pPr>
            <w:r>
              <w:rPr/>
              <w:t>5.1358</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4" w:type="dxa"/>
            <w:tcBorders/>
            <w:shd w:fill="FFFFFF" w:val="clear"/>
            <w:tcMar>
              <w:bottom w:w="0" w:type="dxa"/>
            </w:tcMar>
            <w:vAlign w:val="center"/>
          </w:tcPr>
          <w:p>
            <w:pPr>
              <w:pStyle w:val="TableContents"/>
              <w:bidi w:val="0"/>
              <w:spacing w:before="0" w:after="283"/>
              <w:jc w:val="left"/>
              <w:rPr/>
            </w:pPr>
            <w:r>
              <w:rPr/>
              <w:t> </w:t>
            </w:r>
            <w:bookmarkStart w:id="775" w:name="xdx_98D_eus-gaap--ClassOfWarrantOrRightO"/>
            <w:bookmarkEnd w:id="775"/>
          </w:p>
        </w:tc>
        <w:tc>
          <w:tcPr>
            <w:tcW w:w="1870" w:type="dxa"/>
            <w:tcBorders/>
            <w:shd w:fill="FFFFFF" w:val="clear"/>
            <w:tcMar>
              <w:bottom w:w="0" w:type="dxa"/>
            </w:tcMar>
            <w:vAlign w:val="center"/>
          </w:tcPr>
          <w:p>
            <w:pPr>
              <w:pStyle w:val="TableContents"/>
              <w:bidi w:val="0"/>
              <w:spacing w:before="0" w:after="283"/>
              <w:jc w:val="right"/>
              <w:rPr/>
            </w:pPr>
            <w:r>
              <w:rPr/>
              <w:t>99,243</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bookmarkStart w:id="776" w:name="xdx_987_ecustom--WarrantsExpirationDateD"/>
            <w:bookmarkEnd w:id="776"/>
          </w:p>
        </w:tc>
        <w:tc>
          <w:tcPr>
            <w:tcW w:w="1670" w:type="dxa"/>
            <w:tcBorders/>
            <w:shd w:fill="FFFFFF" w:val="clear"/>
            <w:tcMar>
              <w:bottom w:w="0" w:type="dxa"/>
            </w:tcMar>
            <w:vAlign w:val="center"/>
          </w:tcPr>
          <w:p>
            <w:pPr>
              <w:pStyle w:val="TableContents"/>
              <w:bidi w:val="0"/>
              <w:spacing w:before="0" w:after="283"/>
              <w:jc w:val="center"/>
              <w:rPr/>
            </w:pPr>
            <w:r>
              <w:rPr/>
              <w:t>Jul-28</w:t>
            </w:r>
          </w:p>
        </w:tc>
      </w:tr>
      <w:tr>
        <w:trPr/>
        <w:tc>
          <w:tcPr>
            <w:tcW w:w="239" w:type="dxa"/>
            <w:tcBorders/>
            <w:shd w:fill="CCEEFF" w:val="clear"/>
            <w:tcMar>
              <w:bottom w:w="0" w:type="dxa"/>
            </w:tcMar>
            <w:vAlign w:val="center"/>
          </w:tcPr>
          <w:p>
            <w:pPr>
              <w:pStyle w:val="TableContents"/>
              <w:bidi w:val="0"/>
              <w:spacing w:before="0" w:after="283"/>
              <w:jc w:val="left"/>
              <w:rPr/>
            </w:pPr>
            <w:r>
              <w:rPr/>
              <w:t> </w:t>
            </w:r>
            <w:bookmarkStart w:id="777" w:name="xdx_982_eus-gaap--ClassOfWarrantOrRightE"/>
            <w:bookmarkEnd w:id="777"/>
          </w:p>
        </w:tc>
        <w:tc>
          <w:tcPr>
            <w:tcW w:w="1235" w:type="dxa"/>
            <w:tcBorders/>
            <w:shd w:fill="CCEEFF" w:val="clear"/>
            <w:tcMar>
              <w:bottom w:w="0" w:type="dxa"/>
            </w:tcMar>
            <w:vAlign w:val="center"/>
          </w:tcPr>
          <w:p>
            <w:pPr>
              <w:pStyle w:val="TableContents"/>
              <w:bidi w:val="0"/>
              <w:spacing w:before="0" w:after="283"/>
              <w:jc w:val="right"/>
              <w:rPr/>
            </w:pPr>
            <w:r>
              <w:rPr/>
              <w:t>7.1810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4" w:type="dxa"/>
            <w:tcBorders/>
            <w:shd w:fill="CCEEFF" w:val="clear"/>
            <w:tcMar>
              <w:bottom w:w="0" w:type="dxa"/>
            </w:tcMar>
            <w:vAlign w:val="center"/>
          </w:tcPr>
          <w:p>
            <w:pPr>
              <w:pStyle w:val="TableContents"/>
              <w:bidi w:val="0"/>
              <w:spacing w:before="0" w:after="283"/>
              <w:jc w:val="left"/>
              <w:rPr/>
            </w:pPr>
            <w:r>
              <w:rPr/>
              <w:t> </w:t>
            </w:r>
            <w:bookmarkStart w:id="778" w:name="xdx_989_eus-gaap--ClassOfWarrantOrRightO"/>
            <w:bookmarkEnd w:id="778"/>
          </w:p>
        </w:tc>
        <w:tc>
          <w:tcPr>
            <w:tcW w:w="1870" w:type="dxa"/>
            <w:tcBorders/>
            <w:shd w:fill="CCEEFF" w:val="clear"/>
            <w:tcMar>
              <w:bottom w:w="0" w:type="dxa"/>
            </w:tcMar>
            <w:vAlign w:val="center"/>
          </w:tcPr>
          <w:p>
            <w:pPr>
              <w:pStyle w:val="TableContents"/>
              <w:bidi w:val="0"/>
              <w:spacing w:before="0" w:after="283"/>
              <w:jc w:val="right"/>
              <w:rPr/>
            </w:pPr>
            <w:r>
              <w:rPr/>
              <w:t>83,270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bookmarkStart w:id="779" w:name="xdx_985_ecustom--WarrantsExpirationDateD"/>
            <w:bookmarkEnd w:id="779"/>
          </w:p>
        </w:tc>
        <w:tc>
          <w:tcPr>
            <w:tcW w:w="1670" w:type="dxa"/>
            <w:tcBorders/>
            <w:shd w:fill="CCEEFF" w:val="clear"/>
            <w:tcMar>
              <w:bottom w:w="0" w:type="dxa"/>
            </w:tcMar>
            <w:vAlign w:val="center"/>
          </w:tcPr>
          <w:p>
            <w:pPr>
              <w:pStyle w:val="TableContents"/>
              <w:bidi w:val="0"/>
              <w:spacing w:before="0" w:after="283"/>
              <w:jc w:val="center"/>
              <w:rPr/>
            </w:pPr>
            <w:r>
              <w:rPr/>
              <w:t>Jul-28</w:t>
            </w:r>
          </w:p>
        </w:tc>
      </w:tr>
      <w:tr>
        <w:trPr/>
        <w:tc>
          <w:tcPr>
            <w:tcW w:w="239" w:type="dxa"/>
            <w:tcBorders/>
            <w:shd w:fill="FFFFFF" w:val="clear"/>
            <w:tcMar>
              <w:bottom w:w="0" w:type="dxa"/>
            </w:tcMar>
            <w:vAlign w:val="center"/>
          </w:tcPr>
          <w:p>
            <w:pPr>
              <w:pStyle w:val="TableContents"/>
              <w:bidi w:val="0"/>
              <w:spacing w:before="0" w:after="283"/>
              <w:jc w:val="left"/>
              <w:rPr/>
            </w:pPr>
            <w:r>
              <w:rPr/>
              <w:t> </w:t>
            </w:r>
            <w:bookmarkStart w:id="780" w:name="xdx_98E_eus-gaap--ClassOfWarrantOrRightE"/>
            <w:bookmarkEnd w:id="780"/>
          </w:p>
        </w:tc>
        <w:tc>
          <w:tcPr>
            <w:tcW w:w="1235" w:type="dxa"/>
            <w:tcBorders/>
            <w:shd w:fill="FFFFFF" w:val="clear"/>
            <w:tcMar>
              <w:bottom w:w="0" w:type="dxa"/>
            </w:tcMar>
            <w:vAlign w:val="center"/>
          </w:tcPr>
          <w:p>
            <w:pPr>
              <w:pStyle w:val="TableContents"/>
              <w:bidi w:val="0"/>
              <w:spacing w:before="0" w:after="283"/>
              <w:jc w:val="right"/>
              <w:rPr/>
            </w:pPr>
            <w:r>
              <w:rPr/>
              <w:t>7.5020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4" w:type="dxa"/>
            <w:tcBorders/>
            <w:shd w:fill="FFFFFF" w:val="clear"/>
            <w:tcMar>
              <w:bottom w:w="0" w:type="dxa"/>
            </w:tcMar>
            <w:vAlign w:val="center"/>
          </w:tcPr>
          <w:p>
            <w:pPr>
              <w:pStyle w:val="TableContents"/>
              <w:bidi w:val="0"/>
              <w:spacing w:before="0" w:after="283"/>
              <w:jc w:val="left"/>
              <w:rPr/>
            </w:pPr>
            <w:r>
              <w:rPr/>
              <w:t> </w:t>
            </w:r>
            <w:bookmarkStart w:id="781" w:name="xdx_98A_eus-gaap--ClassOfWarrantOrRightO"/>
            <w:bookmarkEnd w:id="781"/>
          </w:p>
        </w:tc>
        <w:tc>
          <w:tcPr>
            <w:tcW w:w="1870" w:type="dxa"/>
            <w:tcBorders/>
            <w:shd w:fill="FFFFFF" w:val="clear"/>
            <w:tcMar>
              <w:bottom w:w="0" w:type="dxa"/>
            </w:tcMar>
            <w:vAlign w:val="center"/>
          </w:tcPr>
          <w:p>
            <w:pPr>
              <w:pStyle w:val="TableContents"/>
              <w:bidi w:val="0"/>
              <w:spacing w:before="0" w:after="283"/>
              <w:jc w:val="right"/>
              <w:rPr/>
            </w:pPr>
            <w:r>
              <w:rPr/>
              <w:t>9,846</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bookmarkStart w:id="782" w:name="xdx_985_ecustom--WarrantsExpirationDateD"/>
            <w:bookmarkEnd w:id="782"/>
          </w:p>
        </w:tc>
        <w:tc>
          <w:tcPr>
            <w:tcW w:w="1670" w:type="dxa"/>
            <w:tcBorders/>
            <w:shd w:fill="FFFFFF" w:val="clear"/>
            <w:tcMar>
              <w:bottom w:w="0" w:type="dxa"/>
            </w:tcMar>
            <w:vAlign w:val="center"/>
          </w:tcPr>
          <w:p>
            <w:pPr>
              <w:pStyle w:val="TableContents"/>
              <w:bidi w:val="0"/>
              <w:spacing w:before="0" w:after="283"/>
              <w:jc w:val="center"/>
              <w:rPr/>
            </w:pPr>
            <w:r>
              <w:rPr/>
              <w:t>Jul-28</w:t>
            </w:r>
          </w:p>
        </w:tc>
      </w:tr>
      <w:tr>
        <w:trPr/>
        <w:tc>
          <w:tcPr>
            <w:tcW w:w="239" w:type="dxa"/>
            <w:tcBorders/>
            <w:shd w:fill="CCEEFF" w:val="clear"/>
            <w:tcMar>
              <w:bottom w:w="0" w:type="dxa"/>
            </w:tcMar>
            <w:vAlign w:val="center"/>
          </w:tcPr>
          <w:p>
            <w:pPr>
              <w:pStyle w:val="TableContents"/>
              <w:bidi w:val="0"/>
              <w:spacing w:before="0" w:after="283"/>
              <w:jc w:val="left"/>
              <w:rPr/>
            </w:pPr>
            <w:r>
              <w:rPr/>
              <w:t> </w:t>
            </w:r>
            <w:bookmarkStart w:id="783" w:name="xdx_988_eus-gaap--ClassOfWarrantOrRightE"/>
            <w:bookmarkEnd w:id="783"/>
          </w:p>
        </w:tc>
        <w:tc>
          <w:tcPr>
            <w:tcW w:w="1235" w:type="dxa"/>
            <w:tcBorders/>
            <w:shd w:fill="CCEEFF" w:val="clear"/>
            <w:tcMar>
              <w:bottom w:w="0" w:type="dxa"/>
            </w:tcMar>
            <w:vAlign w:val="center"/>
          </w:tcPr>
          <w:p>
            <w:pPr>
              <w:pStyle w:val="TableContents"/>
              <w:bidi w:val="0"/>
              <w:spacing w:before="0" w:after="283"/>
              <w:jc w:val="right"/>
              <w:rPr/>
            </w:pPr>
            <w:r>
              <w:rPr/>
              <w:t>7.9630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4" w:type="dxa"/>
            <w:tcBorders/>
            <w:shd w:fill="CCEEFF" w:val="clear"/>
            <w:tcMar>
              <w:bottom w:w="0" w:type="dxa"/>
            </w:tcMar>
            <w:vAlign w:val="center"/>
          </w:tcPr>
          <w:p>
            <w:pPr>
              <w:pStyle w:val="TableContents"/>
              <w:bidi w:val="0"/>
              <w:spacing w:before="0" w:after="283"/>
              <w:jc w:val="left"/>
              <w:rPr/>
            </w:pPr>
            <w:r>
              <w:rPr/>
              <w:t> </w:t>
            </w:r>
            <w:bookmarkStart w:id="784" w:name="xdx_98C_eus-gaap--ClassOfWarrantOrRightO"/>
            <w:bookmarkEnd w:id="784"/>
          </w:p>
        </w:tc>
        <w:tc>
          <w:tcPr>
            <w:tcW w:w="1870" w:type="dxa"/>
            <w:tcBorders/>
            <w:shd w:fill="CCEEFF" w:val="clear"/>
            <w:tcMar>
              <w:bottom w:w="0" w:type="dxa"/>
            </w:tcMar>
            <w:vAlign w:val="center"/>
          </w:tcPr>
          <w:p>
            <w:pPr>
              <w:pStyle w:val="TableContents"/>
              <w:bidi w:val="0"/>
              <w:spacing w:before="0" w:after="283"/>
              <w:jc w:val="right"/>
              <w:rPr/>
            </w:pPr>
            <w:r>
              <w:rPr/>
              <w:t>21,369</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bookmarkStart w:id="785" w:name="xdx_983_ecustom--WarrantsExpirationDateD"/>
            <w:bookmarkEnd w:id="785"/>
          </w:p>
        </w:tc>
        <w:tc>
          <w:tcPr>
            <w:tcW w:w="1670" w:type="dxa"/>
            <w:tcBorders/>
            <w:shd w:fill="CCEEFF" w:val="clear"/>
            <w:tcMar>
              <w:bottom w:w="0" w:type="dxa"/>
            </w:tcMar>
            <w:vAlign w:val="center"/>
          </w:tcPr>
          <w:p>
            <w:pPr>
              <w:pStyle w:val="TableContents"/>
              <w:bidi w:val="0"/>
              <w:spacing w:before="0" w:after="283"/>
              <w:jc w:val="center"/>
              <w:rPr/>
            </w:pPr>
            <w:r>
              <w:rPr/>
              <w:t>Aug-28</w:t>
            </w:r>
          </w:p>
        </w:tc>
      </w:tr>
      <w:tr>
        <w:trPr/>
        <w:tc>
          <w:tcPr>
            <w:tcW w:w="239" w:type="dxa"/>
            <w:tcBorders/>
            <w:shd w:fill="FFFFFF" w:val="clear"/>
            <w:tcMar>
              <w:bottom w:w="0" w:type="dxa"/>
            </w:tcMar>
            <w:vAlign w:val="center"/>
          </w:tcPr>
          <w:p>
            <w:pPr>
              <w:pStyle w:val="TableContents"/>
              <w:bidi w:val="0"/>
              <w:spacing w:before="0" w:after="283"/>
              <w:jc w:val="left"/>
              <w:rPr/>
            </w:pPr>
            <w:r>
              <w:rPr/>
              <w:t> </w:t>
            </w:r>
            <w:bookmarkStart w:id="786" w:name="xdx_987_eus-gaap--ClassOfWarrantOrRightE"/>
            <w:bookmarkEnd w:id="786"/>
          </w:p>
        </w:tc>
        <w:tc>
          <w:tcPr>
            <w:tcW w:w="1235" w:type="dxa"/>
            <w:tcBorders/>
            <w:shd w:fill="FFFFFF" w:val="clear"/>
            <w:tcMar>
              <w:bottom w:w="0" w:type="dxa"/>
            </w:tcMar>
            <w:vAlign w:val="center"/>
          </w:tcPr>
          <w:p>
            <w:pPr>
              <w:pStyle w:val="TableContents"/>
              <w:bidi w:val="0"/>
              <w:spacing w:before="0" w:after="283"/>
              <w:jc w:val="right"/>
              <w:rPr/>
            </w:pPr>
            <w:r>
              <w:rPr/>
              <w:t>9.0000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4" w:type="dxa"/>
            <w:tcBorders/>
            <w:shd w:fill="FFFFFF" w:val="clear"/>
            <w:tcMar>
              <w:bottom w:w="0" w:type="dxa"/>
            </w:tcMar>
            <w:vAlign w:val="center"/>
          </w:tcPr>
          <w:p>
            <w:pPr>
              <w:pStyle w:val="TableContents"/>
              <w:bidi w:val="0"/>
              <w:spacing w:before="0" w:after="283"/>
              <w:jc w:val="left"/>
              <w:rPr/>
            </w:pPr>
            <w:r>
              <w:rPr/>
              <w:t> </w:t>
            </w:r>
            <w:bookmarkStart w:id="787" w:name="xdx_98E_eus-gaap--ClassOfWarrantOrRightO"/>
            <w:bookmarkEnd w:id="787"/>
          </w:p>
        </w:tc>
        <w:tc>
          <w:tcPr>
            <w:tcW w:w="1870" w:type="dxa"/>
            <w:tcBorders/>
            <w:shd w:fill="FFFFFF" w:val="clear"/>
            <w:tcMar>
              <w:bottom w:w="0" w:type="dxa"/>
            </w:tcMar>
            <w:vAlign w:val="center"/>
          </w:tcPr>
          <w:p>
            <w:pPr>
              <w:pStyle w:val="TableContents"/>
              <w:bidi w:val="0"/>
              <w:spacing w:before="0" w:after="283"/>
              <w:jc w:val="right"/>
              <w:rPr/>
            </w:pPr>
            <w:r>
              <w:rPr/>
              <w:t>21,709</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bookmarkStart w:id="788" w:name="xdx_98A_ecustom--WarrantsExpirationDateD"/>
            <w:bookmarkEnd w:id="788"/>
          </w:p>
        </w:tc>
        <w:tc>
          <w:tcPr>
            <w:tcW w:w="1670" w:type="dxa"/>
            <w:tcBorders/>
            <w:shd w:fill="FFFFFF" w:val="clear"/>
            <w:tcMar>
              <w:bottom w:w="0" w:type="dxa"/>
            </w:tcMar>
            <w:vAlign w:val="center"/>
          </w:tcPr>
          <w:p>
            <w:pPr>
              <w:pStyle w:val="TableContents"/>
              <w:bidi w:val="0"/>
              <w:spacing w:before="0" w:after="283"/>
              <w:jc w:val="center"/>
              <w:rPr/>
            </w:pPr>
            <w:r>
              <w:rPr/>
              <w:t>Jun-27</w:t>
            </w:r>
          </w:p>
        </w:tc>
      </w:tr>
      <w:tr>
        <w:trPr/>
        <w:tc>
          <w:tcPr>
            <w:tcW w:w="239" w:type="dxa"/>
            <w:tcBorders/>
            <w:shd w:fill="CCEEFF" w:val="clear"/>
            <w:tcMar>
              <w:bottom w:w="0" w:type="dxa"/>
            </w:tcMar>
            <w:vAlign w:val="center"/>
          </w:tcPr>
          <w:p>
            <w:pPr>
              <w:pStyle w:val="TableContents"/>
              <w:bidi w:val="0"/>
              <w:spacing w:before="0" w:after="283"/>
              <w:jc w:val="left"/>
              <w:rPr/>
            </w:pPr>
            <w:r>
              <w:rPr/>
              <w:t> </w:t>
            </w:r>
            <w:bookmarkStart w:id="789" w:name="xdx_98E_eus-gaap--ClassOfWarrantOrRightE"/>
            <w:bookmarkEnd w:id="789"/>
          </w:p>
        </w:tc>
        <w:tc>
          <w:tcPr>
            <w:tcW w:w="1235" w:type="dxa"/>
            <w:tcBorders/>
            <w:shd w:fill="CCEEFF" w:val="clear"/>
            <w:tcMar>
              <w:bottom w:w="0" w:type="dxa"/>
            </w:tcMar>
            <w:vAlign w:val="center"/>
          </w:tcPr>
          <w:p>
            <w:pPr>
              <w:pStyle w:val="TableContents"/>
              <w:bidi w:val="0"/>
              <w:spacing w:before="0" w:after="283"/>
              <w:jc w:val="right"/>
              <w:rPr/>
            </w:pPr>
            <w:r>
              <w:rPr/>
              <w:t>9.5960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4" w:type="dxa"/>
            <w:tcBorders/>
            <w:shd w:fill="CCEEFF" w:val="clear"/>
            <w:tcMar>
              <w:bottom w:w="0" w:type="dxa"/>
            </w:tcMar>
            <w:vAlign w:val="center"/>
          </w:tcPr>
          <w:p>
            <w:pPr>
              <w:pStyle w:val="TableContents"/>
              <w:bidi w:val="0"/>
              <w:spacing w:before="0" w:after="283"/>
              <w:jc w:val="left"/>
              <w:rPr/>
            </w:pPr>
            <w:r>
              <w:rPr/>
              <w:t> </w:t>
            </w:r>
            <w:bookmarkStart w:id="790" w:name="xdx_98A_eus-gaap--ClassOfWarrantOrRightO"/>
            <w:bookmarkEnd w:id="790"/>
          </w:p>
        </w:tc>
        <w:tc>
          <w:tcPr>
            <w:tcW w:w="1870" w:type="dxa"/>
            <w:tcBorders/>
            <w:shd w:fill="CCEEFF" w:val="clear"/>
            <w:tcMar>
              <w:bottom w:w="0" w:type="dxa"/>
            </w:tcMar>
            <w:vAlign w:val="center"/>
          </w:tcPr>
          <w:p>
            <w:pPr>
              <w:pStyle w:val="TableContents"/>
              <w:bidi w:val="0"/>
              <w:spacing w:before="0" w:after="283"/>
              <w:jc w:val="right"/>
              <w:rPr/>
            </w:pPr>
            <w:r>
              <w:rPr/>
              <w:t>84,390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bookmarkStart w:id="791" w:name="xdx_98C_ecustom--WarrantsExpirationDateD"/>
            <w:bookmarkEnd w:id="791"/>
          </w:p>
        </w:tc>
        <w:tc>
          <w:tcPr>
            <w:tcW w:w="1670" w:type="dxa"/>
            <w:tcBorders/>
            <w:shd w:fill="CCEEFF" w:val="clear"/>
            <w:tcMar>
              <w:bottom w:w="0" w:type="dxa"/>
            </w:tcMar>
            <w:vAlign w:val="center"/>
          </w:tcPr>
          <w:p>
            <w:pPr>
              <w:pStyle w:val="TableContents"/>
              <w:bidi w:val="0"/>
              <w:spacing w:before="0" w:after="283"/>
              <w:jc w:val="center"/>
              <w:rPr/>
            </w:pPr>
            <w:r>
              <w:rPr/>
              <w:t>Jan-29</w:t>
            </w:r>
          </w:p>
        </w:tc>
      </w:tr>
      <w:tr>
        <w:trPr/>
        <w:tc>
          <w:tcPr>
            <w:tcW w:w="239" w:type="dxa"/>
            <w:tcBorders/>
            <w:shd w:fill="FFFFFF" w:val="clear"/>
            <w:tcMar>
              <w:bottom w:w="0" w:type="dxa"/>
            </w:tcMar>
            <w:vAlign w:val="center"/>
          </w:tcPr>
          <w:p>
            <w:pPr>
              <w:pStyle w:val="TableContents"/>
              <w:bidi w:val="0"/>
              <w:spacing w:before="0" w:after="283"/>
              <w:jc w:val="left"/>
              <w:rPr/>
            </w:pPr>
            <w:r>
              <w:rPr/>
              <w:t> </w:t>
            </w:r>
            <w:bookmarkStart w:id="792" w:name="xdx_987_eus-gaap--ClassOfWarrantOrRightE"/>
            <w:bookmarkEnd w:id="792"/>
          </w:p>
        </w:tc>
        <w:tc>
          <w:tcPr>
            <w:tcW w:w="1235" w:type="dxa"/>
            <w:tcBorders/>
            <w:shd w:fill="FFFFFF" w:val="clear"/>
            <w:tcMar>
              <w:bottom w:w="0" w:type="dxa"/>
            </w:tcMar>
            <w:vAlign w:val="center"/>
          </w:tcPr>
          <w:p>
            <w:pPr>
              <w:pStyle w:val="TableContents"/>
              <w:bidi w:val="0"/>
              <w:spacing w:before="0" w:after="283"/>
              <w:jc w:val="right"/>
              <w:rPr/>
            </w:pPr>
            <w:r>
              <w:rPr/>
              <w:t>10.0992</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4" w:type="dxa"/>
            <w:tcBorders/>
            <w:shd w:fill="FFFFFF" w:val="clear"/>
            <w:tcMar>
              <w:bottom w:w="0" w:type="dxa"/>
            </w:tcMar>
            <w:vAlign w:val="center"/>
          </w:tcPr>
          <w:p>
            <w:pPr>
              <w:pStyle w:val="TableContents"/>
              <w:bidi w:val="0"/>
              <w:spacing w:before="0" w:after="283"/>
              <w:jc w:val="left"/>
              <w:rPr/>
            </w:pPr>
            <w:r>
              <w:rPr/>
              <w:t> </w:t>
            </w:r>
            <w:bookmarkStart w:id="793" w:name="xdx_98A_eus-gaap--ClassOfWarrantOrRightO"/>
            <w:bookmarkEnd w:id="793"/>
          </w:p>
        </w:tc>
        <w:tc>
          <w:tcPr>
            <w:tcW w:w="1870" w:type="dxa"/>
            <w:tcBorders/>
            <w:shd w:fill="FFFFFF" w:val="clear"/>
            <w:tcMar>
              <w:bottom w:w="0" w:type="dxa"/>
            </w:tcMar>
            <w:vAlign w:val="center"/>
          </w:tcPr>
          <w:p>
            <w:pPr>
              <w:pStyle w:val="TableContents"/>
              <w:bidi w:val="0"/>
              <w:spacing w:before="0" w:after="283"/>
              <w:jc w:val="right"/>
              <w:rPr/>
            </w:pPr>
            <w:r>
              <w:rPr/>
              <w:t>19,118</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bookmarkStart w:id="794" w:name="xdx_986_ecustom--WarrantsExpirationDateD"/>
            <w:bookmarkEnd w:id="794"/>
          </w:p>
        </w:tc>
        <w:tc>
          <w:tcPr>
            <w:tcW w:w="1670" w:type="dxa"/>
            <w:tcBorders/>
            <w:shd w:fill="FFFFFF" w:val="clear"/>
            <w:tcMar>
              <w:bottom w:w="0" w:type="dxa"/>
            </w:tcMar>
            <w:vAlign w:val="center"/>
          </w:tcPr>
          <w:p>
            <w:pPr>
              <w:pStyle w:val="TableContents"/>
              <w:bidi w:val="0"/>
              <w:spacing w:before="0" w:after="283"/>
              <w:jc w:val="center"/>
              <w:rPr/>
            </w:pPr>
            <w:r>
              <w:rPr/>
              <w:t>Aug-28</w:t>
            </w:r>
          </w:p>
        </w:tc>
      </w:tr>
      <w:tr>
        <w:trPr/>
        <w:tc>
          <w:tcPr>
            <w:tcW w:w="239" w:type="dxa"/>
            <w:tcBorders/>
            <w:shd w:fill="CCEEFF" w:val="clear"/>
            <w:tcMar>
              <w:bottom w:w="0" w:type="dxa"/>
            </w:tcMar>
            <w:vAlign w:val="center"/>
          </w:tcPr>
          <w:p>
            <w:pPr>
              <w:pStyle w:val="TableContents"/>
              <w:bidi w:val="0"/>
              <w:spacing w:before="0" w:after="283"/>
              <w:jc w:val="left"/>
              <w:rPr/>
            </w:pPr>
            <w:r>
              <w:rPr/>
              <w:t> </w:t>
            </w:r>
            <w:bookmarkStart w:id="795" w:name="xdx_982_eus-gaap--ClassOfWarrantOrRightE"/>
            <w:bookmarkEnd w:id="795"/>
          </w:p>
        </w:tc>
        <w:tc>
          <w:tcPr>
            <w:tcW w:w="1235" w:type="dxa"/>
            <w:tcBorders/>
            <w:shd w:fill="CCEEFF" w:val="clear"/>
            <w:tcMar>
              <w:bottom w:w="0" w:type="dxa"/>
            </w:tcMar>
            <w:vAlign w:val="center"/>
          </w:tcPr>
          <w:p>
            <w:pPr>
              <w:pStyle w:val="TableContents"/>
              <w:bidi w:val="0"/>
              <w:spacing w:before="0" w:after="283"/>
              <w:jc w:val="right"/>
              <w:rPr/>
            </w:pPr>
            <w:r>
              <w:rPr/>
              <w:t>10.2600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4" w:type="dxa"/>
            <w:tcBorders/>
            <w:shd w:fill="CCEEFF" w:val="clear"/>
            <w:tcMar>
              <w:bottom w:w="0" w:type="dxa"/>
            </w:tcMar>
            <w:vAlign w:val="center"/>
          </w:tcPr>
          <w:p>
            <w:pPr>
              <w:pStyle w:val="TableContents"/>
              <w:bidi w:val="0"/>
              <w:spacing w:before="0" w:after="283"/>
              <w:jc w:val="left"/>
              <w:rPr/>
            </w:pPr>
            <w:r>
              <w:rPr/>
              <w:t> </w:t>
            </w:r>
            <w:bookmarkStart w:id="796" w:name="xdx_986_eus-gaap--ClassOfWarrantOrRightO"/>
            <w:bookmarkEnd w:id="796"/>
          </w:p>
        </w:tc>
        <w:tc>
          <w:tcPr>
            <w:tcW w:w="1870" w:type="dxa"/>
            <w:tcBorders/>
            <w:shd w:fill="CCEEFF" w:val="clear"/>
            <w:tcMar>
              <w:bottom w:w="0" w:type="dxa"/>
            </w:tcMar>
            <w:vAlign w:val="center"/>
          </w:tcPr>
          <w:p>
            <w:pPr>
              <w:pStyle w:val="TableContents"/>
              <w:bidi w:val="0"/>
              <w:spacing w:before="0" w:after="283"/>
              <w:jc w:val="right"/>
              <w:rPr/>
            </w:pPr>
            <w:r>
              <w:rPr/>
              <w:t>51,705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bookmarkStart w:id="797" w:name="xdx_983_ecustom--WarrantsExpirationDateD"/>
            <w:bookmarkEnd w:id="797"/>
          </w:p>
        </w:tc>
        <w:tc>
          <w:tcPr>
            <w:tcW w:w="1670" w:type="dxa"/>
            <w:tcBorders/>
            <w:shd w:fill="CCEEFF" w:val="clear"/>
            <w:tcMar>
              <w:bottom w:w="0" w:type="dxa"/>
            </w:tcMar>
            <w:vAlign w:val="center"/>
          </w:tcPr>
          <w:p>
            <w:pPr>
              <w:pStyle w:val="TableContents"/>
              <w:bidi w:val="0"/>
              <w:spacing w:before="0" w:after="283"/>
              <w:jc w:val="center"/>
              <w:rPr/>
            </w:pPr>
            <w:r>
              <w:rPr/>
              <w:t>Sep-28</w:t>
            </w:r>
          </w:p>
        </w:tc>
      </w:tr>
      <w:tr>
        <w:trPr/>
        <w:tc>
          <w:tcPr>
            <w:tcW w:w="239" w:type="dxa"/>
            <w:tcBorders/>
            <w:shd w:fill="FFFFFF" w:val="clear"/>
            <w:tcMar>
              <w:bottom w:w="0" w:type="dxa"/>
            </w:tcMar>
            <w:vAlign w:val="center"/>
          </w:tcPr>
          <w:p>
            <w:pPr>
              <w:pStyle w:val="TableContents"/>
              <w:bidi w:val="0"/>
              <w:spacing w:before="0" w:after="283"/>
              <w:jc w:val="left"/>
              <w:rPr/>
            </w:pPr>
            <w:r>
              <w:rPr/>
              <w:t> </w:t>
            </w:r>
            <w:bookmarkStart w:id="798" w:name="xdx_98B_eus-gaap--ClassOfWarrantOrRightE"/>
            <w:bookmarkEnd w:id="798"/>
          </w:p>
        </w:tc>
        <w:tc>
          <w:tcPr>
            <w:tcW w:w="1235" w:type="dxa"/>
            <w:tcBorders/>
            <w:shd w:fill="FFFFFF" w:val="clear"/>
            <w:tcMar>
              <w:bottom w:w="0" w:type="dxa"/>
            </w:tcMar>
            <w:vAlign w:val="center"/>
          </w:tcPr>
          <w:p>
            <w:pPr>
              <w:pStyle w:val="TableContents"/>
              <w:bidi w:val="0"/>
              <w:spacing w:before="0" w:after="283"/>
              <w:jc w:val="right"/>
              <w:rPr/>
            </w:pPr>
            <w:r>
              <w:rPr/>
              <w:t>10.4678</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4" w:type="dxa"/>
            <w:tcBorders/>
            <w:shd w:fill="FFFFFF" w:val="clear"/>
            <w:tcMar>
              <w:bottom w:w="0" w:type="dxa"/>
            </w:tcMar>
            <w:vAlign w:val="center"/>
          </w:tcPr>
          <w:p>
            <w:pPr>
              <w:pStyle w:val="TableContents"/>
              <w:bidi w:val="0"/>
              <w:spacing w:before="0" w:after="283"/>
              <w:jc w:val="left"/>
              <w:rPr/>
            </w:pPr>
            <w:r>
              <w:rPr/>
              <w:t> </w:t>
            </w:r>
            <w:bookmarkStart w:id="799" w:name="xdx_98A_eus-gaap--ClassOfWarrantOrRightO"/>
            <w:bookmarkEnd w:id="799"/>
          </w:p>
        </w:tc>
        <w:tc>
          <w:tcPr>
            <w:tcW w:w="1870" w:type="dxa"/>
            <w:tcBorders/>
            <w:shd w:fill="FFFFFF" w:val="clear"/>
            <w:tcMar>
              <w:bottom w:w="0" w:type="dxa"/>
            </w:tcMar>
            <w:vAlign w:val="center"/>
          </w:tcPr>
          <w:p>
            <w:pPr>
              <w:pStyle w:val="TableContents"/>
              <w:bidi w:val="0"/>
              <w:spacing w:before="0" w:after="283"/>
              <w:jc w:val="right"/>
              <w:rPr/>
            </w:pPr>
            <w:r>
              <w:rPr/>
              <w:t>84,296</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bookmarkStart w:id="800" w:name="xdx_984_ecustom--WarrantsExpirationDateD"/>
            <w:bookmarkEnd w:id="800"/>
          </w:p>
        </w:tc>
        <w:tc>
          <w:tcPr>
            <w:tcW w:w="1670" w:type="dxa"/>
            <w:tcBorders/>
            <w:shd w:fill="FFFFFF" w:val="clear"/>
            <w:tcMar>
              <w:bottom w:w="0" w:type="dxa"/>
            </w:tcMar>
            <w:vAlign w:val="center"/>
          </w:tcPr>
          <w:p>
            <w:pPr>
              <w:pStyle w:val="TableContents"/>
              <w:bidi w:val="0"/>
              <w:spacing w:before="0" w:after="283"/>
              <w:jc w:val="center"/>
              <w:rPr/>
            </w:pPr>
            <w:r>
              <w:rPr/>
              <w:t>Sep-28</w:t>
            </w:r>
          </w:p>
        </w:tc>
      </w:tr>
      <w:tr>
        <w:trPr/>
        <w:tc>
          <w:tcPr>
            <w:tcW w:w="239" w:type="dxa"/>
            <w:tcBorders/>
            <w:shd w:fill="CCEEFF" w:val="clear"/>
            <w:tcMar>
              <w:bottom w:w="0" w:type="dxa"/>
            </w:tcMar>
            <w:vAlign w:val="center"/>
          </w:tcPr>
          <w:p>
            <w:pPr>
              <w:pStyle w:val="TableContents"/>
              <w:bidi w:val="0"/>
              <w:spacing w:before="0" w:after="283"/>
              <w:jc w:val="left"/>
              <w:rPr/>
            </w:pPr>
            <w:r>
              <w:rPr/>
              <w:t> </w:t>
            </w:r>
            <w:bookmarkStart w:id="801" w:name="xdx_985_eus-gaap--ClassOfWarrantOrRightE"/>
            <w:bookmarkEnd w:id="801"/>
          </w:p>
        </w:tc>
        <w:tc>
          <w:tcPr>
            <w:tcW w:w="1235" w:type="dxa"/>
            <w:tcBorders/>
            <w:shd w:fill="CCEEFF" w:val="clear"/>
            <w:tcMar>
              <w:bottom w:w="0" w:type="dxa"/>
            </w:tcMar>
            <w:vAlign w:val="center"/>
          </w:tcPr>
          <w:p>
            <w:pPr>
              <w:pStyle w:val="TableContents"/>
              <w:bidi w:val="0"/>
              <w:spacing w:before="0" w:after="283"/>
              <w:jc w:val="right"/>
              <w:rPr/>
            </w:pPr>
            <w:r>
              <w:rPr/>
              <w:t>11.3000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4" w:type="dxa"/>
            <w:tcBorders/>
            <w:shd w:fill="CCEEFF" w:val="clear"/>
            <w:tcMar>
              <w:bottom w:w="0" w:type="dxa"/>
            </w:tcMar>
            <w:vAlign w:val="center"/>
          </w:tcPr>
          <w:p>
            <w:pPr>
              <w:pStyle w:val="TableContents"/>
              <w:bidi w:val="0"/>
              <w:spacing w:before="0" w:after="283"/>
              <w:jc w:val="left"/>
              <w:rPr/>
            </w:pPr>
            <w:r>
              <w:rPr/>
              <w:t> </w:t>
            </w:r>
            <w:bookmarkStart w:id="802" w:name="xdx_987_eus-gaap--ClassOfWarrantOrRightO"/>
            <w:bookmarkEnd w:id="802"/>
          </w:p>
        </w:tc>
        <w:tc>
          <w:tcPr>
            <w:tcW w:w="1870" w:type="dxa"/>
            <w:tcBorders/>
            <w:shd w:fill="CCEEFF" w:val="clear"/>
            <w:tcMar>
              <w:bottom w:w="0" w:type="dxa"/>
            </w:tcMar>
            <w:vAlign w:val="center"/>
          </w:tcPr>
          <w:p>
            <w:pPr>
              <w:pStyle w:val="TableContents"/>
              <w:bidi w:val="0"/>
              <w:spacing w:before="0" w:after="283"/>
              <w:jc w:val="right"/>
              <w:rPr/>
            </w:pPr>
            <w:r>
              <w:rPr/>
              <w:t>40,417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bookmarkStart w:id="803" w:name="xdx_98D_ecustom--WarrantsExpirationDateD"/>
            <w:bookmarkEnd w:id="803"/>
          </w:p>
        </w:tc>
        <w:tc>
          <w:tcPr>
            <w:tcW w:w="1670" w:type="dxa"/>
            <w:tcBorders/>
            <w:shd w:fill="CCEEFF" w:val="clear"/>
            <w:tcMar>
              <w:bottom w:w="0" w:type="dxa"/>
            </w:tcMar>
            <w:vAlign w:val="center"/>
          </w:tcPr>
          <w:p>
            <w:pPr>
              <w:pStyle w:val="TableContents"/>
              <w:bidi w:val="0"/>
              <w:spacing w:before="0" w:after="283"/>
              <w:jc w:val="center"/>
              <w:rPr/>
            </w:pPr>
            <w:r>
              <w:rPr/>
              <w:t>Oct-28</w:t>
            </w:r>
          </w:p>
        </w:tc>
      </w:tr>
      <w:tr>
        <w:trPr/>
        <w:tc>
          <w:tcPr>
            <w:tcW w:w="239" w:type="dxa"/>
            <w:tcBorders/>
            <w:shd w:fill="FFFFFF" w:val="clear"/>
            <w:tcMar>
              <w:bottom w:w="0" w:type="dxa"/>
            </w:tcMar>
            <w:vAlign w:val="center"/>
          </w:tcPr>
          <w:p>
            <w:pPr>
              <w:pStyle w:val="TableContents"/>
              <w:bidi w:val="0"/>
              <w:spacing w:before="0" w:after="283"/>
              <w:jc w:val="left"/>
              <w:rPr/>
            </w:pPr>
            <w:r>
              <w:rPr/>
              <w:t> </w:t>
            </w:r>
            <w:bookmarkStart w:id="804" w:name="xdx_98C_eus-gaap--ClassOfWarrantOrRightE"/>
            <w:bookmarkEnd w:id="804"/>
          </w:p>
        </w:tc>
        <w:tc>
          <w:tcPr>
            <w:tcW w:w="1235" w:type="dxa"/>
            <w:tcBorders/>
            <w:shd w:fill="FFFFFF" w:val="clear"/>
            <w:tcMar>
              <w:bottom w:w="0" w:type="dxa"/>
            </w:tcMar>
            <w:vAlign w:val="center"/>
          </w:tcPr>
          <w:p>
            <w:pPr>
              <w:pStyle w:val="TableContents"/>
              <w:bidi w:val="0"/>
              <w:spacing w:before="0" w:after="283"/>
              <w:jc w:val="right"/>
              <w:rPr/>
            </w:pPr>
            <w:r>
              <w:rPr/>
              <w:t>13.2800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4" w:type="dxa"/>
            <w:tcBorders/>
            <w:shd w:fill="FFFFFF" w:val="clear"/>
            <w:tcMar>
              <w:bottom w:w="0" w:type="dxa"/>
            </w:tcMar>
            <w:vAlign w:val="center"/>
          </w:tcPr>
          <w:p>
            <w:pPr>
              <w:pStyle w:val="TableContents"/>
              <w:bidi w:val="0"/>
              <w:spacing w:before="0" w:after="283"/>
              <w:jc w:val="left"/>
              <w:rPr/>
            </w:pPr>
            <w:r>
              <w:rPr/>
              <w:t> </w:t>
            </w:r>
            <w:bookmarkStart w:id="805" w:name="xdx_982_eus-gaap--ClassOfWarrantOrRightO"/>
            <w:bookmarkEnd w:id="805"/>
          </w:p>
        </w:tc>
        <w:tc>
          <w:tcPr>
            <w:tcW w:w="1870" w:type="dxa"/>
            <w:tcBorders/>
            <w:shd w:fill="FFFFFF" w:val="clear"/>
            <w:tcMar>
              <w:bottom w:w="0" w:type="dxa"/>
            </w:tcMar>
            <w:vAlign w:val="center"/>
          </w:tcPr>
          <w:p>
            <w:pPr>
              <w:pStyle w:val="TableContents"/>
              <w:bidi w:val="0"/>
              <w:spacing w:before="0" w:after="283"/>
              <w:jc w:val="right"/>
              <w:rPr/>
            </w:pPr>
            <w:r>
              <w:rPr/>
              <w:t>96,198</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bookmarkStart w:id="806" w:name="xdx_986_ecustom--WarrantsExpirationDateD"/>
            <w:bookmarkEnd w:id="806"/>
          </w:p>
        </w:tc>
        <w:tc>
          <w:tcPr>
            <w:tcW w:w="1670" w:type="dxa"/>
            <w:tcBorders/>
            <w:shd w:fill="FFFFFF" w:val="clear"/>
            <w:tcMar>
              <w:bottom w:w="0" w:type="dxa"/>
            </w:tcMar>
            <w:vAlign w:val="center"/>
          </w:tcPr>
          <w:p>
            <w:pPr>
              <w:pStyle w:val="TableContents"/>
              <w:bidi w:val="0"/>
              <w:spacing w:before="0" w:after="283"/>
              <w:jc w:val="center"/>
              <w:rPr/>
            </w:pPr>
            <w:r>
              <w:rPr/>
              <w:t>Nov-28</w:t>
            </w:r>
          </w:p>
        </w:tc>
      </w:tr>
      <w:tr>
        <w:trPr/>
        <w:tc>
          <w:tcPr>
            <w:tcW w:w="239" w:type="dxa"/>
            <w:tcBorders/>
            <w:shd w:fill="CCEEFF" w:val="clear"/>
            <w:tcMar>
              <w:bottom w:w="0" w:type="dxa"/>
            </w:tcMar>
            <w:vAlign w:val="center"/>
          </w:tcPr>
          <w:p>
            <w:pPr>
              <w:pStyle w:val="TableContents"/>
              <w:bidi w:val="0"/>
              <w:spacing w:before="0" w:after="283"/>
              <w:jc w:val="left"/>
              <w:rPr/>
            </w:pPr>
            <w:r>
              <w:rPr/>
              <w:t> </w:t>
            </w:r>
            <w:bookmarkStart w:id="807" w:name="xdx_986_eus-gaap--ClassOfWarrantOrRightE"/>
            <w:bookmarkEnd w:id="807"/>
          </w:p>
        </w:tc>
        <w:tc>
          <w:tcPr>
            <w:tcW w:w="1235" w:type="dxa"/>
            <w:tcBorders/>
            <w:shd w:fill="CCEEFF" w:val="clear"/>
            <w:tcMar>
              <w:bottom w:w="0" w:type="dxa"/>
            </w:tcMar>
            <w:vAlign w:val="center"/>
          </w:tcPr>
          <w:p>
            <w:pPr>
              <w:pStyle w:val="TableContents"/>
              <w:bidi w:val="0"/>
              <w:spacing w:before="0" w:after="283"/>
              <w:jc w:val="right"/>
              <w:rPr/>
            </w:pPr>
            <w:r>
              <w:rPr/>
              <w:t>48.0000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4" w:type="dxa"/>
            <w:tcBorders/>
            <w:shd w:fill="CCEEFF" w:val="clear"/>
            <w:tcMar>
              <w:bottom w:w="0" w:type="dxa"/>
            </w:tcMar>
            <w:vAlign w:val="center"/>
          </w:tcPr>
          <w:p>
            <w:pPr>
              <w:pStyle w:val="TableContents"/>
              <w:bidi w:val="0"/>
              <w:spacing w:before="0" w:after="283"/>
              <w:jc w:val="left"/>
              <w:rPr/>
            </w:pPr>
            <w:r>
              <w:rPr/>
              <w:t> </w:t>
            </w:r>
            <w:bookmarkStart w:id="808" w:name="xdx_984_eus-gaap--ClassOfWarrantOrRightO"/>
            <w:bookmarkEnd w:id="808"/>
          </w:p>
        </w:tc>
        <w:tc>
          <w:tcPr>
            <w:tcW w:w="1870" w:type="dxa"/>
            <w:tcBorders/>
            <w:shd w:fill="CCEEFF" w:val="clear"/>
            <w:tcMar>
              <w:bottom w:w="0" w:type="dxa"/>
            </w:tcMar>
            <w:vAlign w:val="center"/>
          </w:tcPr>
          <w:p>
            <w:pPr>
              <w:pStyle w:val="TableContents"/>
              <w:bidi w:val="0"/>
              <w:spacing w:before="0" w:after="283"/>
              <w:jc w:val="right"/>
              <w:rPr/>
            </w:pPr>
            <w:r>
              <w:rPr/>
              <w:t>12,500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bookmarkStart w:id="809" w:name="xdx_98B_ecustom--WarrantsExpirationDateD"/>
            <w:bookmarkEnd w:id="809"/>
          </w:p>
        </w:tc>
        <w:tc>
          <w:tcPr>
            <w:tcW w:w="1670" w:type="dxa"/>
            <w:tcBorders/>
            <w:shd w:fill="CCEEFF" w:val="clear"/>
            <w:tcMar>
              <w:bottom w:w="0" w:type="dxa"/>
            </w:tcMar>
            <w:vAlign w:val="center"/>
          </w:tcPr>
          <w:p>
            <w:pPr>
              <w:pStyle w:val="TableContents"/>
              <w:bidi w:val="0"/>
              <w:spacing w:before="0" w:after="283"/>
              <w:jc w:val="center"/>
              <w:rPr/>
            </w:pPr>
            <w:r>
              <w:rPr/>
              <w:t>Jul-26</w:t>
            </w:r>
          </w:p>
        </w:tc>
      </w:tr>
      <w:tr>
        <w:trPr/>
        <w:tc>
          <w:tcPr>
            <w:tcW w:w="239" w:type="dxa"/>
            <w:tcBorders/>
            <w:shd w:fill="FFFFFF" w:val="clear"/>
            <w:tcMar>
              <w:bottom w:w="0" w:type="dxa"/>
            </w:tcMar>
            <w:vAlign w:val="center"/>
          </w:tcPr>
          <w:p>
            <w:pPr>
              <w:pStyle w:val="TableContents"/>
              <w:bidi w:val="0"/>
              <w:spacing w:before="0" w:after="283"/>
              <w:jc w:val="left"/>
              <w:rPr/>
            </w:pPr>
            <w:r>
              <w:rPr/>
              <w:t> </w:t>
            </w:r>
            <w:bookmarkStart w:id="810" w:name="xdx_982_eus-gaap--ClassOfWarrantOrRightE"/>
            <w:bookmarkEnd w:id="810"/>
          </w:p>
        </w:tc>
        <w:tc>
          <w:tcPr>
            <w:tcW w:w="1235" w:type="dxa"/>
            <w:tcBorders/>
            <w:shd w:fill="FFFFFF" w:val="clear"/>
            <w:tcMar>
              <w:bottom w:w="0" w:type="dxa"/>
            </w:tcMar>
            <w:vAlign w:val="center"/>
          </w:tcPr>
          <w:p>
            <w:pPr>
              <w:pStyle w:val="TableContents"/>
              <w:bidi w:val="0"/>
              <w:spacing w:before="0" w:after="283"/>
              <w:jc w:val="right"/>
              <w:rPr/>
            </w:pPr>
            <w:r>
              <w:rPr/>
              <w:t>61.6000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4" w:type="dxa"/>
            <w:tcBorders>
              <w:bottom w:val="single" w:sz="8" w:space="0" w:color="000000"/>
            </w:tcBorders>
            <w:shd w:fill="FFFFFF" w:val="clear"/>
            <w:vAlign w:val="center"/>
          </w:tcPr>
          <w:p>
            <w:pPr>
              <w:pStyle w:val="TableContents"/>
              <w:bidi w:val="0"/>
              <w:spacing w:before="0" w:after="283"/>
              <w:jc w:val="left"/>
              <w:rPr/>
            </w:pPr>
            <w:r>
              <w:rPr/>
              <w:t> </w:t>
            </w:r>
            <w:bookmarkStart w:id="811" w:name="xdx_982_eus-gaap--ClassOfWarrantOrRightO"/>
            <w:bookmarkEnd w:id="811"/>
          </w:p>
        </w:tc>
        <w:tc>
          <w:tcPr>
            <w:tcW w:w="1870" w:type="dxa"/>
            <w:tcBorders>
              <w:bottom w:val="single" w:sz="8" w:space="0" w:color="000000"/>
            </w:tcBorders>
            <w:shd w:fill="FFFFFF" w:val="clear"/>
            <w:vAlign w:val="center"/>
          </w:tcPr>
          <w:p>
            <w:pPr>
              <w:pStyle w:val="TableContents"/>
              <w:bidi w:val="0"/>
              <w:spacing w:before="0" w:after="283"/>
              <w:jc w:val="right"/>
              <w:rPr/>
            </w:pPr>
            <w:r>
              <w:rPr/>
              <w:t>56,892</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bookmarkStart w:id="812" w:name="xdx_981_ecustom--WarrantsExpirationDateD"/>
            <w:bookmarkEnd w:id="812"/>
          </w:p>
        </w:tc>
        <w:tc>
          <w:tcPr>
            <w:tcW w:w="1670" w:type="dxa"/>
            <w:tcBorders/>
            <w:shd w:fill="FFFFFF" w:val="clear"/>
            <w:tcMar>
              <w:bottom w:w="0" w:type="dxa"/>
            </w:tcMar>
            <w:vAlign w:val="center"/>
          </w:tcPr>
          <w:p>
            <w:pPr>
              <w:pStyle w:val="TableContents"/>
              <w:bidi w:val="0"/>
              <w:spacing w:before="0" w:after="283"/>
              <w:jc w:val="center"/>
              <w:rPr/>
            </w:pPr>
            <w:r>
              <w:rPr/>
              <w:t>Nov-27</w:t>
            </w:r>
          </w:p>
        </w:tc>
      </w:tr>
      <w:tr>
        <w:trPr/>
        <w:tc>
          <w:tcPr>
            <w:tcW w:w="239" w:type="dxa"/>
            <w:tcBorders/>
            <w:shd w:fill="CCEEFF" w:val="clear"/>
            <w:tcMar>
              <w:bottom w:w="0" w:type="dxa"/>
            </w:tcMar>
            <w:vAlign w:val="center"/>
          </w:tcPr>
          <w:p>
            <w:pPr>
              <w:pStyle w:val="TableContents"/>
              <w:bidi w:val="0"/>
              <w:spacing w:before="0" w:after="283"/>
              <w:jc w:val="left"/>
              <w:rPr/>
            </w:pPr>
            <w:r>
              <w:rPr/>
              <w:t> </w:t>
            </w:r>
          </w:p>
        </w:tc>
        <w:tc>
          <w:tcPr>
            <w:tcW w:w="1235"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4" w:type="dxa"/>
            <w:tcBorders/>
            <w:shd w:fill="CCEEFF" w:val="clear"/>
            <w:tcMar>
              <w:bottom w:w="0" w:type="dxa"/>
            </w:tcMar>
            <w:vAlign w:val="center"/>
          </w:tcPr>
          <w:p>
            <w:pPr>
              <w:pStyle w:val="TableContents"/>
              <w:bidi w:val="0"/>
              <w:spacing w:before="0" w:after="283"/>
              <w:jc w:val="left"/>
              <w:rPr/>
            </w:pPr>
            <w:r>
              <w:rPr/>
              <w:t> </w:t>
            </w:r>
            <w:bookmarkStart w:id="813" w:name="xdx_980_eus-gaap--ClassOfWarrantOrRightO"/>
            <w:bookmarkEnd w:id="813"/>
          </w:p>
        </w:tc>
        <w:tc>
          <w:tcPr>
            <w:tcW w:w="1870" w:type="dxa"/>
            <w:tcBorders/>
            <w:shd w:fill="CCEEFF" w:val="clear"/>
            <w:tcMar>
              <w:bottom w:w="0" w:type="dxa"/>
            </w:tcMar>
            <w:vAlign w:val="center"/>
          </w:tcPr>
          <w:p>
            <w:pPr>
              <w:pStyle w:val="TableContents"/>
              <w:bidi w:val="0"/>
              <w:spacing w:before="0" w:after="283"/>
              <w:jc w:val="right"/>
              <w:rPr/>
            </w:pPr>
            <w:r>
              <w:rPr/>
              <w:t>2,414,647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70"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814" w:name="xdx_8A1_znANC6L46X72"/>
      <w:bookmarkEnd w:id="814"/>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During the nine months ended September 30, 2025, the Company issued warrants to purchase an aggregate of </w:t>
      </w:r>
      <w:bookmarkStart w:id="815" w:name="xdx_907_eus-gaap--ClassOfWarrantOrRightN"/>
      <w:bookmarkEnd w:id="815"/>
      <w:r>
        <w:rPr>
          <w:rFonts w:ascii="Times New Roman;Times;Serif" w:hAnsi="Times New Roman;Times;Serif"/>
          <w:b w:val="false"/>
          <w:i w:val="false"/>
          <w:caps w:val="false"/>
          <w:smallCaps w:val="false"/>
          <w:sz w:val="20"/>
        </w:rPr>
        <w:t>758,514 shares of its common stock to investors at an exercise price of $</w:t>
      </w:r>
      <w:bookmarkStart w:id="816" w:name="xdx_906_eus-gaap--ClassOfWarrantOrRightE"/>
      <w:bookmarkEnd w:id="816"/>
      <w:r>
        <w:rPr>
          <w:rFonts w:ascii="Times New Roman;Times;Serif" w:hAnsi="Times New Roman;Times;Serif"/>
          <w:b w:val="false"/>
          <w:i w:val="false"/>
          <w:caps w:val="false"/>
          <w:smallCaps w:val="false"/>
          <w:sz w:val="20"/>
        </w:rPr>
        <w:t>0.9547 per share.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During the nine months ended September 30, 2025, the Company issued </w:t>
      </w:r>
      <w:bookmarkStart w:id="817" w:name="xdx_90F_ecustom--StockIssuedDuringPeriod"/>
      <w:bookmarkEnd w:id="817"/>
      <w:r>
        <w:rPr>
          <w:rFonts w:ascii="Times New Roman;Times;Serif" w:hAnsi="Times New Roman;Times;Serif"/>
          <w:b w:val="false"/>
          <w:i w:val="false"/>
          <w:caps w:val="false"/>
          <w:smallCaps w:val="false"/>
          <w:sz w:val="20"/>
        </w:rPr>
        <w:t xml:space="preserve">1,644,743 shares of its common stock upon cashless exercise of </w:t>
      </w:r>
      <w:bookmarkStart w:id="818" w:name="xdx_906_eus-gaap--ClassOfWarrantOrRightN"/>
      <w:bookmarkEnd w:id="818"/>
      <w:r>
        <w:rPr>
          <w:rFonts w:ascii="Times New Roman;Times;Serif" w:hAnsi="Times New Roman;Times;Serif"/>
          <w:b w:val="false"/>
          <w:i w:val="false"/>
          <w:caps w:val="false"/>
          <w:smallCaps w:val="false"/>
          <w:sz w:val="20"/>
        </w:rPr>
        <w:t>2,357,377 warrants to purchase shares of common stock, pursuant to the formula set forth in such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819" w:name="xdx_892_eus-gaap--ScheduleOfStockholders"/>
      <w:bookmarkEnd w:id="819"/>
      <w:r>
        <w:rPr>
          <w:rFonts w:ascii="Times New Roman;Times;Serif" w:hAnsi="Times New Roman;Times;Serif"/>
          <w:b w:val="false"/>
          <w:i w:val="false"/>
          <w:caps w:val="false"/>
          <w:smallCaps w:val="false"/>
          <w:sz w:val="20"/>
        </w:rPr>
        <w:t>A summary of the warrant activity for nine months ended September 30, 2025 is as follows: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bookmarkStart w:id="820" w:name="xdx_8BF_zPuVQYxLSuXd"/>
      <w:bookmarkEnd w:id="820"/>
      <w:r>
        <w:rPr>
          <w:rFonts w:ascii="Times New Roman;Times;Serif" w:hAnsi="Times New Roman;Times;Serif"/>
          <w:b w:val="false"/>
          <w:i w:val="false"/>
          <w:caps w:val="false"/>
          <w:smallCaps w:val="false"/>
          <w:sz w:val="20"/>
        </w:rPr>
        <w:t>SCHEDULE OF WARRANT ACTIVITY</w:t>
      </w:r>
    </w:p>
    <w:tbl>
      <w:tblPr>
        <w:tblW w:w="10205" w:type="dxa"/>
        <w:jc w:val="left"/>
        <w:tblInd w:w="0" w:type="dxa"/>
        <w:tblLayout w:type="fixed"/>
        <w:tblCellMar>
          <w:top w:w="0" w:type="dxa"/>
          <w:left w:w="0" w:type="dxa"/>
          <w:bottom w:w="0" w:type="dxa"/>
          <w:right w:w="0" w:type="dxa"/>
        </w:tblCellMar>
      </w:tblPr>
      <w:tblGrid>
        <w:gridCol w:w="4093"/>
        <w:gridCol w:w="60"/>
        <w:gridCol w:w="60"/>
        <w:gridCol w:w="1055"/>
        <w:gridCol w:w="95"/>
        <w:gridCol w:w="60"/>
        <w:gridCol w:w="142"/>
        <w:gridCol w:w="1468"/>
        <w:gridCol w:w="60"/>
        <w:gridCol w:w="60"/>
        <w:gridCol w:w="87"/>
        <w:gridCol w:w="1523"/>
        <w:gridCol w:w="60"/>
        <w:gridCol w:w="60"/>
        <w:gridCol w:w="155"/>
        <w:gridCol w:w="1090"/>
        <w:gridCol w:w="77"/>
      </w:tblGrid>
      <w:tr>
        <w:trPr/>
        <w:tc>
          <w:tcPr>
            <w:tcW w:w="409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Shares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10"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Weighted-Average</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Exercise Price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10"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Weighted-Average</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Remaining</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Contractual Term</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5"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Aggregate</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Intrinsic Value</w:t>
            </w:r>
          </w:p>
        </w:tc>
        <w:tc>
          <w:tcPr>
            <w:tcW w:w="77" w:type="dxa"/>
            <w:tcBorders/>
            <w:vAlign w:val="center"/>
          </w:tcPr>
          <w:p>
            <w:pPr>
              <w:pStyle w:val="TableContents"/>
              <w:bidi w:val="0"/>
              <w:spacing w:before="0" w:after="283"/>
              <w:jc w:val="left"/>
              <w:rPr/>
            </w:pPr>
            <w:r>
              <w:rPr/>
              <w:t> </w:t>
            </w:r>
          </w:p>
        </w:tc>
      </w:tr>
      <w:tr>
        <w:trPr/>
        <w:tc>
          <w:tcPr>
            <w:tcW w:w="4093" w:type="dxa"/>
            <w:tcBorders/>
            <w:shd w:fill="CCEEFF" w:val="clear"/>
            <w:vAlign w:val="center"/>
          </w:tcPr>
          <w:p>
            <w:pPr>
              <w:pStyle w:val="TableContents"/>
              <w:bidi w:val="0"/>
              <w:spacing w:before="0" w:after="283"/>
              <w:jc w:val="left"/>
              <w:rPr/>
            </w:pPr>
            <w:r>
              <w:rPr/>
              <w:t>Outstanding at January 1, 2025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821" w:name="xdx_987_eus-gaap--ClassOfWarrantOrRightO"/>
            <w:bookmarkEnd w:id="821"/>
          </w:p>
        </w:tc>
        <w:tc>
          <w:tcPr>
            <w:tcW w:w="1055" w:type="dxa"/>
            <w:tcBorders/>
            <w:shd w:fill="CCEEFF" w:val="clear"/>
            <w:vAlign w:val="center"/>
          </w:tcPr>
          <w:p>
            <w:pPr>
              <w:pStyle w:val="TableContents"/>
              <w:bidi w:val="0"/>
              <w:spacing w:before="0" w:after="283"/>
              <w:jc w:val="right"/>
              <w:rPr/>
            </w:pPr>
            <w:r>
              <w:rPr/>
              <w:t>4,899,716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w:t>
            </w:r>
            <w:bookmarkStart w:id="822" w:name="xdx_985_eus-gaap--ClassOfWarrantOrRightE"/>
            <w:bookmarkEnd w:id="822"/>
          </w:p>
        </w:tc>
        <w:tc>
          <w:tcPr>
            <w:tcW w:w="1468" w:type="dxa"/>
            <w:tcBorders/>
            <w:shd w:fill="CCEEFF" w:val="clear"/>
            <w:vAlign w:val="center"/>
          </w:tcPr>
          <w:p>
            <w:pPr>
              <w:pStyle w:val="TableContents"/>
              <w:bidi w:val="0"/>
              <w:spacing w:before="0" w:after="283"/>
              <w:jc w:val="right"/>
              <w:rPr/>
            </w:pPr>
            <w:r>
              <w:rPr/>
              <w:t>4.88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1523" w:type="dxa"/>
            <w:tcBorders/>
            <w:shd w:fill="CCEEFF" w:val="clear"/>
            <w:vAlign w:val="center"/>
          </w:tcPr>
          <w:p>
            <w:pPr>
              <w:pStyle w:val="TableContents"/>
              <w:bidi w:val="0"/>
              <w:spacing w:before="0" w:after="283"/>
              <w:jc w:val="right"/>
              <w:rPr/>
            </w:pPr>
            <w:r>
              <w:rPr/>
              <w:t>            </w:t>
            </w:r>
            <w:bookmarkStart w:id="823" w:name="xdx_90E_ecustom--WarrantsOutstandingWeig"/>
            <w:bookmarkEnd w:id="823"/>
            <w:r>
              <w:rPr/>
              <w:t>3.5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w:t>
            </w:r>
            <w:bookmarkStart w:id="824" w:name="xdx_98F_ecustom--ClassOfWarrantOrRightsO"/>
            <w:bookmarkEnd w:id="824"/>
          </w:p>
        </w:tc>
        <w:tc>
          <w:tcPr>
            <w:tcW w:w="1090" w:type="dxa"/>
            <w:tcBorders/>
            <w:shd w:fill="CCEEFF" w:val="clear"/>
            <w:vAlign w:val="center"/>
          </w:tcPr>
          <w:p>
            <w:pPr>
              <w:pStyle w:val="TableContents"/>
              <w:bidi w:val="0"/>
              <w:spacing w:before="0" w:after="283"/>
              <w:jc w:val="right"/>
              <w:rPr/>
            </w:pPr>
            <w:r>
              <w:rPr/>
              <w:t>405,018</w:t>
            </w:r>
          </w:p>
        </w:tc>
        <w:tc>
          <w:tcPr>
            <w:tcW w:w="77" w:type="dxa"/>
            <w:tcBorders/>
            <w:shd w:fill="CCEEFF" w:val="clear"/>
            <w:vAlign w:val="center"/>
          </w:tcPr>
          <w:p>
            <w:pPr>
              <w:pStyle w:val="TableContents"/>
              <w:bidi w:val="0"/>
              <w:spacing w:before="0" w:after="283"/>
              <w:jc w:val="left"/>
              <w:rPr/>
            </w:pPr>
            <w:r>
              <w:rPr/>
              <w:t> </w:t>
            </w:r>
          </w:p>
        </w:tc>
      </w:tr>
      <w:tr>
        <w:trPr/>
        <w:tc>
          <w:tcPr>
            <w:tcW w:w="4093" w:type="dxa"/>
            <w:tcBorders/>
            <w:shd w:fill="FFFFFF" w:val="clear"/>
            <w:vAlign w:val="center"/>
          </w:tcPr>
          <w:p>
            <w:pPr>
              <w:pStyle w:val="TableContents"/>
              <w:bidi w:val="0"/>
              <w:spacing w:before="0" w:after="283"/>
              <w:jc w:val="left"/>
              <w:rPr/>
            </w:pPr>
            <w:r>
              <w:rPr/>
              <w:t>Issued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825" w:name="xdx_98A_ecustom--ClassOfWarrantsOrRightI"/>
            <w:bookmarkEnd w:id="825"/>
          </w:p>
        </w:tc>
        <w:tc>
          <w:tcPr>
            <w:tcW w:w="1055" w:type="dxa"/>
            <w:tcBorders/>
            <w:shd w:fill="FFFFFF" w:val="clear"/>
            <w:vAlign w:val="center"/>
          </w:tcPr>
          <w:p>
            <w:pPr>
              <w:pStyle w:val="TableContents"/>
              <w:bidi w:val="0"/>
              <w:spacing w:before="0" w:after="283"/>
              <w:jc w:val="right"/>
              <w:rPr/>
            </w:pPr>
            <w:r>
              <w:rPr/>
              <w:t>758,514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bookmarkStart w:id="826" w:name="xdx_98C_ecustom--ClassOfWarrantOrRightEx"/>
            <w:bookmarkEnd w:id="826"/>
          </w:p>
        </w:tc>
        <w:tc>
          <w:tcPr>
            <w:tcW w:w="1468" w:type="dxa"/>
            <w:tcBorders/>
            <w:shd w:fill="FFFFFF" w:val="clear"/>
            <w:vAlign w:val="center"/>
          </w:tcPr>
          <w:p>
            <w:pPr>
              <w:pStyle w:val="TableContents"/>
              <w:bidi w:val="0"/>
              <w:spacing w:before="0" w:after="283"/>
              <w:jc w:val="right"/>
              <w:rPr/>
            </w:pPr>
            <w:r>
              <w:rPr/>
              <w:t>0.95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1523" w:type="dxa"/>
            <w:tcBorders/>
            <w:shd w:fill="FFFFFF" w:val="clear"/>
            <w:vAlign w:val="center"/>
          </w:tcPr>
          <w:p>
            <w:pPr>
              <w:pStyle w:val="TableContents"/>
              <w:bidi w:val="0"/>
              <w:spacing w:before="0" w:after="283"/>
              <w:jc w:val="right"/>
              <w:rPr/>
            </w:pPr>
            <w:bookmarkStart w:id="827" w:name="xdx_90B_ecustom--WarrantsWeightedAverage"/>
            <w:bookmarkEnd w:id="827"/>
            <w:r>
              <w:rPr/>
              <w:t>2.6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1090" w:type="dxa"/>
            <w:tcBorders/>
            <w:shd w:fill="FFFFFF" w:val="clear"/>
            <w:vAlign w:val="center"/>
          </w:tcPr>
          <w:p>
            <w:pPr>
              <w:pStyle w:val="TableContents"/>
              <w:bidi w:val="0"/>
              <w:spacing w:before="0" w:after="283"/>
              <w:jc w:val="right"/>
              <w:rPr/>
            </w:pPr>
            <w:r>
              <w:rPr/>
              <w:t> </w:t>
            </w:r>
          </w:p>
        </w:tc>
        <w:tc>
          <w:tcPr>
            <w:tcW w:w="77" w:type="dxa"/>
            <w:tcBorders/>
            <w:shd w:fill="FFFFFF" w:val="clear"/>
            <w:vAlign w:val="center"/>
          </w:tcPr>
          <w:p>
            <w:pPr>
              <w:pStyle w:val="TableContents"/>
              <w:bidi w:val="0"/>
              <w:spacing w:before="0" w:after="283"/>
              <w:jc w:val="left"/>
              <w:rPr/>
            </w:pPr>
            <w:r>
              <w:rPr/>
              <w:t> </w:t>
            </w:r>
          </w:p>
        </w:tc>
      </w:tr>
      <w:tr>
        <w:trPr/>
        <w:tc>
          <w:tcPr>
            <w:tcW w:w="4093" w:type="dxa"/>
            <w:tcBorders/>
            <w:shd w:fill="CCEEFF" w:val="clear"/>
            <w:vAlign w:val="center"/>
          </w:tcPr>
          <w:p>
            <w:pPr>
              <w:pStyle w:val="TableContents"/>
              <w:bidi w:val="0"/>
              <w:spacing w:before="0" w:after="283"/>
              <w:jc w:val="left"/>
              <w:rPr/>
            </w:pPr>
            <w:r>
              <w:rPr/>
              <w:t>Forfeited/expired</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828" w:name="xdx_985_ecustom--ClassOfWarrantsOrRightF"/>
            <w:bookmarkEnd w:id="828"/>
          </w:p>
        </w:tc>
        <w:tc>
          <w:tcPr>
            <w:tcW w:w="1055" w:type="dxa"/>
            <w:tcBorders/>
            <w:shd w:fill="CCEEFF" w:val="clear"/>
            <w:vAlign w:val="center"/>
          </w:tcPr>
          <w:p>
            <w:pPr>
              <w:pStyle w:val="TableContents"/>
              <w:bidi w:val="0"/>
              <w:spacing w:before="0" w:after="283"/>
              <w:jc w:val="right"/>
              <w:rPr/>
            </w:pPr>
            <w:r>
              <w:rPr/>
              <w:t>(886,206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bookmarkStart w:id="829" w:name="xdx_981_eus-gaap--ShareBasedCompensation"/>
            <w:bookmarkEnd w:id="829"/>
          </w:p>
        </w:tc>
        <w:tc>
          <w:tcPr>
            <w:tcW w:w="1468" w:type="dxa"/>
            <w:tcBorders/>
            <w:shd w:fill="CCEEFF" w:val="clear"/>
            <w:vAlign w:val="center"/>
          </w:tcPr>
          <w:p>
            <w:pPr>
              <w:pStyle w:val="TableContents"/>
              <w:bidi w:val="0"/>
              <w:spacing w:before="0" w:after="283"/>
              <w:jc w:val="right"/>
              <w:rPr/>
            </w:pPr>
            <w:r>
              <w:rPr/>
              <w:t>41.32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1523"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bookmarkStart w:id="830" w:name="xdx_986_ecustom--ShareBasedCompensationA"/>
            <w:bookmarkEnd w:id="830"/>
          </w:p>
        </w:tc>
        <w:tc>
          <w:tcPr>
            <w:tcW w:w="1090" w:type="dxa"/>
            <w:tcBorders/>
            <w:shd w:fill="CCEEFF" w:val="clear"/>
            <w:vAlign w:val="center"/>
          </w:tcPr>
          <w:p>
            <w:pPr>
              <w:pStyle w:val="TableContents"/>
              <w:bidi w:val="0"/>
              <w:spacing w:before="0" w:after="283"/>
              <w:jc w:val="right"/>
              <w:rPr/>
            </w:pPr>
            <w:r>
              <w:rPr/>
              <w:t>-</w:t>
            </w:r>
          </w:p>
        </w:tc>
        <w:tc>
          <w:tcPr>
            <w:tcW w:w="77" w:type="dxa"/>
            <w:tcBorders/>
            <w:shd w:fill="CCEEFF" w:val="clear"/>
            <w:vAlign w:val="center"/>
          </w:tcPr>
          <w:p>
            <w:pPr>
              <w:pStyle w:val="TableContents"/>
              <w:bidi w:val="0"/>
              <w:spacing w:before="0" w:after="283"/>
              <w:jc w:val="left"/>
              <w:rPr/>
            </w:pPr>
            <w:r>
              <w:rPr/>
              <w:t> </w:t>
            </w:r>
          </w:p>
        </w:tc>
      </w:tr>
      <w:tr>
        <w:trPr/>
        <w:tc>
          <w:tcPr>
            <w:tcW w:w="4093" w:type="dxa"/>
            <w:tcBorders/>
            <w:shd w:fill="FFFFFF" w:val="clear"/>
            <w:vAlign w:val="center"/>
          </w:tcPr>
          <w:p>
            <w:pPr>
              <w:pStyle w:val="TableContents"/>
              <w:bidi w:val="0"/>
              <w:spacing w:before="0" w:after="283"/>
              <w:jc w:val="left"/>
              <w:rPr/>
            </w:pPr>
            <w:r>
              <w:rPr/>
              <w:t>Exercised</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831" w:name="xdx_982_ecustom--ClassOfWarrantsOrRightE"/>
            <w:bookmarkEnd w:id="831"/>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pPr>
            <w:r>
              <w:rPr/>
              <w:t>(2,357,377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832" w:name="xdx_98D_ecustom--ClassOfWarrantOrRightEx"/>
            <w:bookmarkEnd w:id="832"/>
          </w:p>
        </w:tc>
        <w:tc>
          <w:tcPr>
            <w:tcW w:w="1468" w:type="dxa"/>
            <w:tcBorders>
              <w:bottom w:val="single" w:sz="8" w:space="0" w:color="000000"/>
            </w:tcBorders>
            <w:shd w:fill="FFFFFF" w:val="clear"/>
            <w:tcMar>
              <w:bottom w:w="28" w:type="dxa"/>
            </w:tcMar>
            <w:vAlign w:val="center"/>
          </w:tcPr>
          <w:p>
            <w:pPr>
              <w:pStyle w:val="TableContents"/>
              <w:bidi w:val="0"/>
              <w:spacing w:before="0" w:after="283"/>
              <w:jc w:val="right"/>
              <w:rPr/>
            </w:pPr>
            <w:r>
              <w:rPr/>
              <w:t>2.41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523"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833" w:name="xdx_989_ecustom--ShareBasedCompensationA"/>
            <w:bookmarkEnd w:id="833"/>
          </w:p>
        </w:tc>
        <w:tc>
          <w:tcPr>
            <w:tcW w:w="109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77" w:type="dxa"/>
            <w:tcBorders/>
            <w:shd w:fill="FFFFFF" w:val="clear"/>
            <w:vAlign w:val="center"/>
          </w:tcPr>
          <w:p>
            <w:pPr>
              <w:pStyle w:val="TableContents"/>
              <w:bidi w:val="0"/>
              <w:spacing w:before="0" w:after="283"/>
              <w:jc w:val="left"/>
              <w:rPr/>
            </w:pPr>
            <w:r>
              <w:rPr/>
              <w:t> </w:t>
            </w:r>
          </w:p>
        </w:tc>
      </w:tr>
      <w:tr>
        <w:trPr/>
        <w:tc>
          <w:tcPr>
            <w:tcW w:w="4093" w:type="dxa"/>
            <w:tcBorders/>
            <w:shd w:fill="CCEEFF" w:val="clear"/>
            <w:vAlign w:val="center"/>
          </w:tcPr>
          <w:p>
            <w:pPr>
              <w:pStyle w:val="TableContents"/>
              <w:bidi w:val="0"/>
              <w:spacing w:before="0" w:after="283"/>
              <w:jc w:val="left"/>
              <w:rPr/>
            </w:pPr>
            <w:r>
              <w:rPr/>
              <w:t>Outstanding at September 30, 2025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834" w:name="xdx_98B_eus-gaap--ClassOfWarrantOrRightO"/>
            <w:bookmarkEnd w:id="834"/>
          </w:p>
        </w:tc>
        <w:tc>
          <w:tcPr>
            <w:tcW w:w="1055" w:type="dxa"/>
            <w:tcBorders/>
            <w:shd w:fill="CCEEFF" w:val="clear"/>
            <w:vAlign w:val="center"/>
          </w:tcPr>
          <w:p>
            <w:pPr>
              <w:pStyle w:val="TableContents"/>
              <w:bidi w:val="0"/>
              <w:spacing w:before="0" w:after="283"/>
              <w:jc w:val="right"/>
              <w:rPr/>
            </w:pPr>
            <w:r>
              <w:rPr/>
              <w:t>2,414,647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w:t>
            </w:r>
          </w:p>
        </w:tc>
        <w:tc>
          <w:tcPr>
            <w:tcW w:w="1468" w:type="dxa"/>
            <w:tcBorders/>
            <w:shd w:fill="CCEEFF" w:val="clear"/>
            <w:vAlign w:val="center"/>
          </w:tcPr>
          <w:p>
            <w:pPr>
              <w:pStyle w:val="TableContents"/>
              <w:bidi w:val="0"/>
              <w:spacing w:before="0" w:after="283"/>
              <w:jc w:val="right"/>
              <w:rPr/>
            </w:pPr>
            <w:bookmarkStart w:id="835" w:name="xdx_900_ecustom--ClassOfWarrantOrRightsW"/>
            <w:bookmarkEnd w:id="835"/>
            <w:r>
              <w:rPr/>
              <w:t>5.57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1523" w:type="dxa"/>
            <w:tcBorders/>
            <w:shd w:fill="CCEEFF" w:val="clear"/>
            <w:vAlign w:val="center"/>
          </w:tcPr>
          <w:p>
            <w:pPr>
              <w:pStyle w:val="TableContents"/>
              <w:bidi w:val="0"/>
              <w:spacing w:before="0" w:after="283"/>
              <w:jc w:val="right"/>
              <w:rPr/>
            </w:pPr>
            <w:bookmarkStart w:id="836" w:name="xdx_907_ecustom--WarrantsOutstandingWeig"/>
            <w:bookmarkEnd w:id="836"/>
            <w:r>
              <w:rPr/>
              <w:t>3.2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w:t>
            </w:r>
          </w:p>
        </w:tc>
        <w:tc>
          <w:tcPr>
            <w:tcW w:w="1090" w:type="dxa"/>
            <w:tcBorders/>
            <w:shd w:fill="CCEEFF" w:val="clear"/>
            <w:vAlign w:val="center"/>
          </w:tcPr>
          <w:p>
            <w:pPr>
              <w:pStyle w:val="TableContents"/>
              <w:bidi w:val="0"/>
              <w:spacing w:before="0" w:after="283"/>
              <w:jc w:val="right"/>
              <w:rPr/>
            </w:pPr>
            <w:bookmarkStart w:id="837" w:name="xdx_908_ecustom--ClassOfWarrantOrRightsO"/>
            <w:bookmarkEnd w:id="837"/>
            <w:r>
              <w:rPr/>
              <w:t>6,404,542</w:t>
            </w:r>
          </w:p>
        </w:tc>
        <w:tc>
          <w:tcPr>
            <w:tcW w:w="77" w:type="dxa"/>
            <w:tcBorders/>
            <w:shd w:fill="CCEEFF" w:val="clear"/>
            <w:vAlign w:val="center"/>
          </w:tcPr>
          <w:p>
            <w:pPr>
              <w:pStyle w:val="TableContents"/>
              <w:bidi w:val="0"/>
              <w:spacing w:before="0" w:after="283"/>
              <w:jc w:val="left"/>
              <w:rPr/>
            </w:pPr>
            <w:r>
              <w:rPr/>
              <w:t> </w:t>
            </w:r>
          </w:p>
        </w:tc>
      </w:tr>
      <w:tr>
        <w:trPr/>
        <w:tc>
          <w:tcPr>
            <w:tcW w:w="409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1468"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1523"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1090" w:type="dxa"/>
            <w:tcBorders/>
            <w:shd w:fill="FFFFFF" w:val="clear"/>
            <w:vAlign w:val="center"/>
          </w:tcPr>
          <w:p>
            <w:pPr>
              <w:pStyle w:val="TableContents"/>
              <w:bidi w:val="0"/>
              <w:spacing w:before="0" w:after="283"/>
              <w:jc w:val="right"/>
              <w:rPr/>
            </w:pPr>
            <w:r>
              <w:rPr/>
              <w:t> </w:t>
            </w:r>
          </w:p>
        </w:tc>
        <w:tc>
          <w:tcPr>
            <w:tcW w:w="77" w:type="dxa"/>
            <w:tcBorders/>
            <w:shd w:fill="FFFFFF" w:val="clear"/>
            <w:vAlign w:val="center"/>
          </w:tcPr>
          <w:p>
            <w:pPr>
              <w:pStyle w:val="TableContents"/>
              <w:bidi w:val="0"/>
              <w:spacing w:before="0" w:after="283"/>
              <w:jc w:val="left"/>
              <w:rPr/>
            </w:pPr>
            <w:r>
              <w:rPr/>
              <w:t> </w:t>
            </w:r>
          </w:p>
        </w:tc>
      </w:tr>
      <w:tr>
        <w:trPr/>
        <w:tc>
          <w:tcPr>
            <w:tcW w:w="4093" w:type="dxa"/>
            <w:tcBorders/>
            <w:shd w:fill="CCEEFF" w:val="clear"/>
            <w:vAlign w:val="center"/>
          </w:tcPr>
          <w:p>
            <w:pPr>
              <w:pStyle w:val="TableContents"/>
              <w:bidi w:val="0"/>
              <w:spacing w:before="0" w:after="283"/>
              <w:jc w:val="left"/>
              <w:rPr/>
            </w:pPr>
            <w:r>
              <w:rPr/>
              <w:t>Vested and expected to vest at September 30, 2025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838" w:name="xdx_981_ecustom--ClassOfWarrantOrRightsV"/>
            <w:bookmarkEnd w:id="838"/>
          </w:p>
        </w:tc>
        <w:tc>
          <w:tcPr>
            <w:tcW w:w="1055" w:type="dxa"/>
            <w:tcBorders/>
            <w:shd w:fill="CCEEFF" w:val="clear"/>
            <w:vAlign w:val="center"/>
          </w:tcPr>
          <w:p>
            <w:pPr>
              <w:pStyle w:val="TableContents"/>
              <w:bidi w:val="0"/>
              <w:spacing w:before="0" w:after="283"/>
              <w:jc w:val="right"/>
              <w:rPr/>
            </w:pPr>
            <w:r>
              <w:rPr/>
              <w:t>2,414,647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w:t>
            </w:r>
            <w:bookmarkStart w:id="839" w:name="xdx_98C_ecustom--ClassOfWarrantOrRightsW"/>
            <w:bookmarkEnd w:id="839"/>
          </w:p>
        </w:tc>
        <w:tc>
          <w:tcPr>
            <w:tcW w:w="1468" w:type="dxa"/>
            <w:tcBorders/>
            <w:shd w:fill="CCEEFF" w:val="clear"/>
            <w:vAlign w:val="center"/>
          </w:tcPr>
          <w:p>
            <w:pPr>
              <w:pStyle w:val="TableContents"/>
              <w:bidi w:val="0"/>
              <w:spacing w:before="0" w:after="283"/>
              <w:jc w:val="right"/>
              <w:rPr/>
            </w:pPr>
            <w:r>
              <w:rPr/>
              <w:t>5.57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1523" w:type="dxa"/>
            <w:tcBorders/>
            <w:shd w:fill="CCEEFF" w:val="clear"/>
            <w:vAlign w:val="center"/>
          </w:tcPr>
          <w:p>
            <w:pPr>
              <w:pStyle w:val="TableContents"/>
              <w:bidi w:val="0"/>
              <w:spacing w:before="0" w:after="283"/>
              <w:jc w:val="right"/>
              <w:rPr/>
            </w:pPr>
            <w:bookmarkStart w:id="840" w:name="xdx_90E_ecustom--WarrantsVestedAndExpect"/>
            <w:bookmarkEnd w:id="840"/>
            <w:r>
              <w:rPr/>
              <w:t>3.2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w:t>
            </w:r>
            <w:bookmarkStart w:id="841" w:name="xdx_98D_ecustom--ClassOfWarrantOrRightsV"/>
            <w:bookmarkEnd w:id="841"/>
          </w:p>
        </w:tc>
        <w:tc>
          <w:tcPr>
            <w:tcW w:w="1090" w:type="dxa"/>
            <w:tcBorders/>
            <w:shd w:fill="CCEEFF" w:val="clear"/>
            <w:vAlign w:val="center"/>
          </w:tcPr>
          <w:p>
            <w:pPr>
              <w:pStyle w:val="TableContents"/>
              <w:bidi w:val="0"/>
              <w:spacing w:before="0" w:after="283"/>
              <w:jc w:val="right"/>
              <w:rPr/>
            </w:pPr>
            <w:r>
              <w:rPr/>
              <w:t>6,404,542</w:t>
            </w:r>
          </w:p>
        </w:tc>
        <w:tc>
          <w:tcPr>
            <w:tcW w:w="77" w:type="dxa"/>
            <w:tcBorders/>
            <w:shd w:fill="CCEEFF" w:val="clear"/>
            <w:vAlign w:val="center"/>
          </w:tcPr>
          <w:p>
            <w:pPr>
              <w:pStyle w:val="TableContents"/>
              <w:bidi w:val="0"/>
              <w:spacing w:before="0" w:after="283"/>
              <w:jc w:val="left"/>
              <w:rPr/>
            </w:pPr>
            <w:r>
              <w:rPr/>
              <w:t> </w:t>
            </w:r>
          </w:p>
        </w:tc>
      </w:tr>
      <w:tr>
        <w:trPr/>
        <w:tc>
          <w:tcPr>
            <w:tcW w:w="4093" w:type="dxa"/>
            <w:tcBorders/>
            <w:shd w:fill="FFFFFF" w:val="clear"/>
            <w:vAlign w:val="center"/>
          </w:tcPr>
          <w:p>
            <w:pPr>
              <w:pStyle w:val="TableContents"/>
              <w:bidi w:val="0"/>
              <w:spacing w:before="0" w:after="283"/>
              <w:jc w:val="left"/>
              <w:rPr/>
            </w:pPr>
            <w:r>
              <w:rPr/>
              <w:t>Exercisable at September 30, 2025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842" w:name="xdx_988_ecustom--ClassOfWarrantOrRightsE"/>
            <w:bookmarkEnd w:id="842"/>
          </w:p>
        </w:tc>
        <w:tc>
          <w:tcPr>
            <w:tcW w:w="1055" w:type="dxa"/>
            <w:tcBorders/>
            <w:shd w:fill="FFFFFF" w:val="clear"/>
            <w:vAlign w:val="center"/>
          </w:tcPr>
          <w:p>
            <w:pPr>
              <w:pStyle w:val="TableContents"/>
              <w:bidi w:val="0"/>
              <w:spacing w:before="0" w:after="283"/>
              <w:jc w:val="right"/>
              <w:rPr/>
            </w:pPr>
            <w:r>
              <w:rPr/>
              <w:t>2,414,647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w:t>
            </w:r>
            <w:bookmarkStart w:id="843" w:name="xdx_98D_ecustom--ClassOfWarrantOrRightsW"/>
            <w:bookmarkEnd w:id="843"/>
          </w:p>
        </w:tc>
        <w:tc>
          <w:tcPr>
            <w:tcW w:w="1468" w:type="dxa"/>
            <w:tcBorders/>
            <w:shd w:fill="FFFFFF" w:val="clear"/>
            <w:vAlign w:val="center"/>
          </w:tcPr>
          <w:p>
            <w:pPr>
              <w:pStyle w:val="TableContents"/>
              <w:bidi w:val="0"/>
              <w:spacing w:before="0" w:after="283"/>
              <w:jc w:val="right"/>
              <w:rPr/>
            </w:pPr>
            <w:r>
              <w:rPr/>
              <w:t>5.57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1523" w:type="dxa"/>
            <w:tcBorders/>
            <w:shd w:fill="FFFFFF" w:val="clear"/>
            <w:vAlign w:val="center"/>
          </w:tcPr>
          <w:p>
            <w:pPr>
              <w:pStyle w:val="TableContents"/>
              <w:bidi w:val="0"/>
              <w:spacing w:before="0" w:after="283"/>
              <w:jc w:val="right"/>
              <w:rPr/>
            </w:pPr>
            <w:bookmarkStart w:id="844" w:name="xdx_902_ecustom--WarrantsExercisableWeig"/>
            <w:bookmarkEnd w:id="844"/>
            <w:r>
              <w:rPr/>
              <w:t>3.2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w:t>
            </w:r>
            <w:bookmarkStart w:id="845" w:name="xdx_98A_ecustom--ClassOfWarrantOrRightsE"/>
            <w:bookmarkEnd w:id="845"/>
          </w:p>
        </w:tc>
        <w:tc>
          <w:tcPr>
            <w:tcW w:w="1090" w:type="dxa"/>
            <w:tcBorders/>
            <w:shd w:fill="FFFFFF" w:val="clear"/>
            <w:vAlign w:val="center"/>
          </w:tcPr>
          <w:p>
            <w:pPr>
              <w:pStyle w:val="TableContents"/>
              <w:bidi w:val="0"/>
              <w:spacing w:before="0" w:after="283"/>
              <w:jc w:val="right"/>
              <w:rPr/>
            </w:pPr>
            <w:r>
              <w:rPr/>
              <w:t>6,404,542</w:t>
            </w:r>
          </w:p>
        </w:tc>
        <w:tc>
          <w:tcPr>
            <w:tcW w:w="77"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bookmarkStart w:id="846" w:name="xdx_8A1_zGf8wGfvU0f7"/>
      <w:bookmarkEnd w:id="846"/>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aggregate intrinsic value in the preceding tables represents the total pretax intrinsic value, based on warrants with an exercise price less than the company’s stock price of $</w:t>
      </w:r>
      <w:bookmarkStart w:id="847" w:name="xdx_90B_eus-gaap--SharePrice_iI_c2025093"/>
      <w:bookmarkEnd w:id="847"/>
      <w:r>
        <w:rPr>
          <w:rFonts w:ascii="Times New Roman;Times;Serif" w:hAnsi="Times New Roman;Times;Serif"/>
          <w:b w:val="false"/>
          <w:i w:val="false"/>
          <w:caps w:val="false"/>
          <w:smallCaps w:val="false"/>
          <w:sz w:val="20"/>
        </w:rPr>
        <w:t>5.76 as of September 30, 2025, which would have been received by the warrant holders had those warrants holders exercised their options as of that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Restricted Stock Units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848" w:name="xdx_893_eus-gaap--NonvestedRestrictedSto"/>
      <w:bookmarkEnd w:id="848"/>
      <w:r>
        <w:rPr>
          <w:rFonts w:ascii="Times New Roman;Times;Serif" w:hAnsi="Times New Roman;Times;Serif"/>
          <w:b w:val="false"/>
          <w:i w:val="false"/>
          <w:caps w:val="false"/>
          <w:smallCaps w:val="false"/>
          <w:sz w:val="20"/>
        </w:rPr>
        <w:t>The following table summarizes the restricted stock activity for the nine months ended September 30,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bookmarkStart w:id="849" w:name="xdx_8BD_zg7V5lGp0pui"/>
      <w:bookmarkEnd w:id="849"/>
      <w:r>
        <w:rPr>
          <w:rFonts w:ascii="Times New Roman;Times;Serif" w:hAnsi="Times New Roman;Times;Serif"/>
          <w:b w:val="false"/>
          <w:i w:val="false"/>
          <w:caps w:val="false"/>
          <w:smallCaps w:val="false"/>
          <w:sz w:val="20"/>
        </w:rPr>
        <w:t>SCHEDULE OF RESTRICTED STOCK ACTIVITY</w:t>
      </w:r>
    </w:p>
    <w:tbl>
      <w:tblPr>
        <w:tblW w:w="6255" w:type="dxa"/>
        <w:jc w:val="left"/>
        <w:tblInd w:w="0" w:type="dxa"/>
        <w:tblLayout w:type="fixed"/>
        <w:tblCellMar>
          <w:top w:w="0" w:type="dxa"/>
          <w:left w:w="0" w:type="dxa"/>
          <w:bottom w:w="0" w:type="dxa"/>
          <w:right w:w="0" w:type="dxa"/>
        </w:tblCellMar>
      </w:tblPr>
      <w:tblGrid>
        <w:gridCol w:w="4970"/>
        <w:gridCol w:w="60"/>
        <w:gridCol w:w="60"/>
        <w:gridCol w:w="1055"/>
        <w:gridCol w:w="110"/>
      </w:tblGrid>
      <w:tr>
        <w:trPr/>
        <w:tc>
          <w:tcPr>
            <w:tcW w:w="4970" w:type="dxa"/>
            <w:tcBorders/>
            <w:shd w:fill="CCEEFF" w:val="clear"/>
            <w:vAlign w:val="center"/>
          </w:tcPr>
          <w:p>
            <w:pPr>
              <w:pStyle w:val="TableContents"/>
              <w:bidi w:val="0"/>
              <w:spacing w:before="0" w:after="283"/>
              <w:jc w:val="left"/>
              <w:rPr/>
            </w:pPr>
            <w:r>
              <w:rPr/>
              <w:t>Restricted shares issued as of January 1, 2025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850" w:name="xdx_98E_eus-gaap--ShareBasedCompensation"/>
            <w:bookmarkEnd w:id="850"/>
          </w:p>
        </w:tc>
        <w:tc>
          <w:tcPr>
            <w:tcW w:w="1055" w:type="dxa"/>
            <w:tcBorders/>
            <w:shd w:fill="CCEEFF" w:val="clear"/>
            <w:vAlign w:val="center"/>
          </w:tcPr>
          <w:p>
            <w:pPr>
              <w:pStyle w:val="TableContents"/>
              <w:bidi w:val="0"/>
              <w:spacing w:before="0" w:after="283"/>
              <w:jc w:val="right"/>
              <w:rPr/>
            </w:pPr>
            <w:r>
              <w:rPr/>
              <w:t>1,385,839</w:t>
            </w:r>
          </w:p>
        </w:tc>
        <w:tc>
          <w:tcPr>
            <w:tcW w:w="110" w:type="dxa"/>
            <w:tcBorders/>
            <w:shd w:fill="CCEEFF" w:val="clear"/>
            <w:vAlign w:val="center"/>
          </w:tcPr>
          <w:p>
            <w:pPr>
              <w:pStyle w:val="TableContents"/>
              <w:bidi w:val="0"/>
              <w:spacing w:before="0" w:after="283"/>
              <w:jc w:val="left"/>
              <w:rPr/>
            </w:pPr>
            <w:r>
              <w:rPr/>
              <w:t> </w:t>
            </w:r>
          </w:p>
        </w:tc>
      </w:tr>
      <w:tr>
        <w:trPr/>
        <w:tc>
          <w:tcPr>
            <w:tcW w:w="4970" w:type="dxa"/>
            <w:tcBorders/>
            <w:shd w:fill="FFFFFF" w:val="clear"/>
            <w:vAlign w:val="center"/>
          </w:tcPr>
          <w:p>
            <w:pPr>
              <w:pStyle w:val="TableContents"/>
              <w:bidi w:val="0"/>
              <w:spacing w:before="0" w:after="283"/>
              <w:jc w:val="left"/>
              <w:rPr/>
            </w:pPr>
            <w:r>
              <w:rPr/>
              <w:t>Granted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851" w:name="xdx_984_eus-gaap--ShareBasedCompensation"/>
            <w:bookmarkEnd w:id="851"/>
          </w:p>
        </w:tc>
        <w:tc>
          <w:tcPr>
            <w:tcW w:w="1055" w:type="dxa"/>
            <w:tcBorders/>
            <w:shd w:fill="FFFFFF" w:val="clear"/>
            <w:vAlign w:val="center"/>
          </w:tcPr>
          <w:p>
            <w:pPr>
              <w:pStyle w:val="TableContents"/>
              <w:bidi w:val="0"/>
              <w:spacing w:before="0" w:after="283"/>
              <w:jc w:val="right"/>
              <w:rPr/>
            </w:pPr>
            <w:r>
              <w:rPr/>
              <w:t>7,515,267</w:t>
            </w:r>
          </w:p>
        </w:tc>
        <w:tc>
          <w:tcPr>
            <w:tcW w:w="110" w:type="dxa"/>
            <w:tcBorders/>
            <w:shd w:fill="FFFFFF" w:val="clear"/>
            <w:vAlign w:val="center"/>
          </w:tcPr>
          <w:p>
            <w:pPr>
              <w:pStyle w:val="TableContents"/>
              <w:bidi w:val="0"/>
              <w:spacing w:before="0" w:after="283"/>
              <w:jc w:val="left"/>
              <w:rPr/>
            </w:pPr>
            <w:r>
              <w:rPr/>
              <w:t> </w:t>
            </w:r>
          </w:p>
        </w:tc>
      </w:tr>
      <w:tr>
        <w:trPr/>
        <w:tc>
          <w:tcPr>
            <w:tcW w:w="4970" w:type="dxa"/>
            <w:tcBorders/>
            <w:shd w:fill="CCEEFF" w:val="clear"/>
            <w:vAlign w:val="center"/>
          </w:tcPr>
          <w:p>
            <w:pPr>
              <w:pStyle w:val="TableContents"/>
              <w:bidi w:val="0"/>
              <w:spacing w:before="0" w:after="283"/>
              <w:jc w:val="left"/>
              <w:rPr/>
            </w:pPr>
            <w:r>
              <w:rPr/>
              <w:t>Vested and issued</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852" w:name="xdx_98B_eus-gaap--ShareBasedCompensation"/>
            <w:bookmarkEnd w:id="852"/>
          </w:p>
        </w:tc>
        <w:tc>
          <w:tcPr>
            <w:tcW w:w="1055" w:type="dxa"/>
            <w:tcBorders/>
            <w:shd w:fill="CCEEFF" w:val="clear"/>
            <w:vAlign w:val="center"/>
          </w:tcPr>
          <w:p>
            <w:pPr>
              <w:pStyle w:val="TableContents"/>
              <w:bidi w:val="0"/>
              <w:spacing w:before="0" w:after="283"/>
              <w:jc w:val="right"/>
              <w:rPr/>
            </w:pPr>
            <w:r>
              <w:rPr/>
              <w:t>(7,836,943</w:t>
            </w:r>
          </w:p>
        </w:tc>
        <w:tc>
          <w:tcPr>
            <w:tcW w:w="110" w:type="dxa"/>
            <w:tcBorders/>
            <w:shd w:fill="CCEEFF" w:val="clear"/>
            <w:vAlign w:val="center"/>
          </w:tcPr>
          <w:p>
            <w:pPr>
              <w:pStyle w:val="TableContents"/>
              <w:bidi w:val="0"/>
              <w:spacing w:before="0" w:after="283"/>
              <w:jc w:val="left"/>
              <w:rPr/>
            </w:pPr>
            <w:r>
              <w:rPr/>
              <w:t>)</w:t>
            </w:r>
          </w:p>
        </w:tc>
      </w:tr>
      <w:tr>
        <w:trPr/>
        <w:tc>
          <w:tcPr>
            <w:tcW w:w="4970" w:type="dxa"/>
            <w:tcBorders/>
            <w:shd w:fill="FFFFFF" w:val="clear"/>
            <w:vAlign w:val="center"/>
          </w:tcPr>
          <w:p>
            <w:pPr>
              <w:pStyle w:val="TableContents"/>
              <w:bidi w:val="0"/>
              <w:spacing w:before="0" w:after="283"/>
              <w:jc w:val="left"/>
              <w:rPr/>
            </w:pPr>
            <w:r>
              <w:rPr/>
              <w:t>Forfeited</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853" w:name="xdx_983_eus-gaap--ShareBasedCompensation"/>
            <w:bookmarkEnd w:id="853"/>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pPr>
            <w:r>
              <w:rPr/>
              <w:t>(64,163</w:t>
            </w:r>
          </w:p>
        </w:tc>
        <w:tc>
          <w:tcPr>
            <w:tcW w:w="110" w:type="dxa"/>
            <w:tcBorders/>
            <w:shd w:fill="FFFFFF" w:val="clear"/>
            <w:vAlign w:val="center"/>
          </w:tcPr>
          <w:p>
            <w:pPr>
              <w:pStyle w:val="TableContents"/>
              <w:bidi w:val="0"/>
              <w:spacing w:before="0" w:after="283"/>
              <w:jc w:val="left"/>
              <w:rPr/>
            </w:pPr>
            <w:r>
              <w:rPr/>
              <w:t>)</w:t>
            </w:r>
          </w:p>
        </w:tc>
      </w:tr>
      <w:tr>
        <w:trPr/>
        <w:tc>
          <w:tcPr>
            <w:tcW w:w="4970" w:type="dxa"/>
            <w:tcBorders/>
            <w:shd w:fill="CCEEFF" w:val="clear"/>
            <w:vAlign w:val="center"/>
          </w:tcPr>
          <w:p>
            <w:pPr>
              <w:pStyle w:val="TableContents"/>
              <w:bidi w:val="0"/>
              <w:spacing w:before="0" w:after="283"/>
              <w:jc w:val="left"/>
              <w:rPr/>
            </w:pPr>
            <w:r>
              <w:rPr/>
              <w:t>Total</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854" w:name="xdx_983_eus-gaap--ShareBasedCompensation"/>
            <w:bookmarkEnd w:id="854"/>
          </w:p>
        </w:tc>
        <w:tc>
          <w:tcPr>
            <w:tcW w:w="1055" w:type="dxa"/>
            <w:tcBorders>
              <w:bottom w:val="double" w:sz="6" w:space="0" w:color="000000"/>
            </w:tcBorders>
            <w:shd w:fill="CCEEFF" w:val="clear"/>
            <w:tcMar>
              <w:bottom w:w="28" w:type="dxa"/>
            </w:tcMar>
            <w:vAlign w:val="center"/>
          </w:tcPr>
          <w:p>
            <w:pPr>
              <w:pStyle w:val="TableContents"/>
              <w:bidi w:val="0"/>
              <w:spacing w:before="0" w:after="283"/>
              <w:jc w:val="right"/>
              <w:rPr/>
            </w:pPr>
            <w:r>
              <w:rPr/>
              <w:t>1,000,000</w:t>
            </w:r>
          </w:p>
        </w:tc>
        <w:tc>
          <w:tcPr>
            <w:tcW w:w="110" w:type="dxa"/>
            <w:tcBorders/>
            <w:shd w:fill="CCEEFF" w:val="clear"/>
            <w:vAlign w:val="center"/>
          </w:tcPr>
          <w:p>
            <w:pPr>
              <w:pStyle w:val="TableContents"/>
              <w:bidi w:val="0"/>
              <w:spacing w:before="0" w:after="283"/>
              <w:jc w:val="left"/>
              <w:rPr/>
            </w:pPr>
            <w:r>
              <w:rPr/>
              <w:t> </w:t>
            </w:r>
          </w:p>
        </w:tc>
      </w:tr>
      <w:tr>
        <w:trPr/>
        <w:tc>
          <w:tcPr>
            <w:tcW w:w="4970" w:type="dxa"/>
            <w:tcBorders/>
            <w:shd w:fill="FFFFFF" w:val="clear"/>
            <w:vAlign w:val="center"/>
          </w:tcPr>
          <w:p>
            <w:pPr>
              <w:pStyle w:val="TableContents"/>
              <w:bidi w:val="0"/>
              <w:spacing w:before="0" w:after="283"/>
              <w:jc w:val="left"/>
              <w:rPr/>
            </w:pPr>
            <w:r>
              <w:rPr/>
              <w:t>Comprised of:</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4970" w:type="dxa"/>
            <w:tcBorders/>
            <w:shd w:fill="CCEEFF" w:val="clear"/>
            <w:vAlign w:val="center"/>
          </w:tcPr>
          <w:p>
            <w:pPr>
              <w:pStyle w:val="TableContents"/>
              <w:bidi w:val="0"/>
              <w:spacing w:before="0" w:after="283"/>
              <w:jc w:val="left"/>
              <w:rPr/>
            </w:pPr>
            <w:r>
              <w:rPr/>
              <w:t>Vested restricted shares as of September 30, 2025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855" w:name="xdx_981_eus-gaap--ShareBasedCompensation"/>
            <w:bookmarkEnd w:id="855"/>
          </w:p>
        </w:tc>
        <w:tc>
          <w:tcPr>
            <w:tcW w:w="1055"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4970" w:type="dxa"/>
            <w:tcBorders/>
            <w:shd w:fill="FFFFFF" w:val="clear"/>
            <w:vAlign w:val="center"/>
          </w:tcPr>
          <w:p>
            <w:pPr>
              <w:pStyle w:val="TableContents"/>
              <w:bidi w:val="0"/>
              <w:spacing w:before="0" w:after="283"/>
              <w:jc w:val="left"/>
              <w:rPr/>
            </w:pPr>
            <w:r>
              <w:rPr/>
              <w:t>Unvested restricted shares as of September 30, 2025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856" w:name="xdx_98B_ecustom--ShareBasedCompensationA"/>
            <w:bookmarkEnd w:id="856"/>
          </w:p>
        </w:tc>
        <w:tc>
          <w:tcPr>
            <w:tcW w:w="1055" w:type="dxa"/>
            <w:tcBorders/>
            <w:shd w:fill="FFFFFF" w:val="clear"/>
            <w:vAlign w:val="center"/>
          </w:tcPr>
          <w:p>
            <w:pPr>
              <w:pStyle w:val="TableContents"/>
              <w:bidi w:val="0"/>
              <w:spacing w:before="0" w:after="283"/>
              <w:jc w:val="right"/>
              <w:rPr/>
            </w:pPr>
            <w:r>
              <w:rPr/>
              <w:t>1,000,000</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857" w:name="xdx_8A3_zdZ33FP7jpd9"/>
      <w:bookmarkEnd w:id="857"/>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19</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STREAMEX CORP.</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THE CONDENSED CONSOLIDATED FINANCIAL STATEMENTS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SEPTEMBER 30, 2025 </w:t>
      </w:r>
      <w:r>
        <w:rPr>
          <w:rFonts w:ascii="Times New Roman;Times;Serif" w:hAnsi="Times New Roman;Times;Serif"/>
          <w:b/>
          <w:i/>
          <w:caps w:val="false"/>
          <w:smallCaps w:val="false"/>
          <w:sz w:val="20"/>
        </w:rPr>
        <w:t>(</w:t>
      </w:r>
      <w:r>
        <w:rPr>
          <w:rFonts w:ascii="Times New Roman;Times;Serif" w:hAnsi="Times New Roman;Times;Serif"/>
          <w:b/>
          <w:i w:val="false"/>
          <w:caps w:val="false"/>
          <w:smallCaps w:val="false"/>
          <w:sz w:val="20"/>
        </w:rPr>
        <w:t>Unaudited</w:t>
      </w:r>
      <w:r>
        <w:rPr>
          <w:rFonts w:ascii="Times New Roman;Times;Serif" w:hAnsi="Times New Roman;Times;Serif"/>
          <w:b/>
          <w:i/>
          <w:caps w:val="false"/>
          <w:smallCaps w:val="false"/>
          <w:sz w:val="20"/>
        </w:rPr>
        <w:t>)</w:t>
      </w:r>
    </w:p>
    <w:p>
      <w:pPr>
        <w:pStyle w:val="TextBody"/>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During the nine months ended September 30, 2025, the Company granted an aggregate of </w:t>
      </w:r>
      <w:bookmarkStart w:id="858" w:name="xdx_90F_eus-gaap--StockIssuedDuringPerio"/>
      <w:bookmarkEnd w:id="858"/>
      <w:r>
        <w:rPr>
          <w:rFonts w:ascii="Times New Roman;Times;Serif" w:hAnsi="Times New Roman;Times;Serif"/>
          <w:b w:val="false"/>
          <w:i w:val="false"/>
          <w:caps w:val="false"/>
          <w:smallCaps w:val="false"/>
          <w:sz w:val="20"/>
        </w:rPr>
        <w:t xml:space="preserve">7,380,267 restricted stock units (“RSUs”) for shares of its commons stock to various key consultants and employees for services rendered. These RSUs were granted at fair value on the grant date. Included in this total are </w:t>
      </w:r>
      <w:bookmarkStart w:id="859" w:name="xdx_90C_eus-gaap--StockIssuedDuringPerio"/>
      <w:bookmarkEnd w:id="859"/>
      <w:r>
        <w:rPr>
          <w:rFonts w:ascii="Times New Roman;Times;Serif" w:hAnsi="Times New Roman;Times;Serif"/>
          <w:b w:val="false"/>
          <w:i w:val="false"/>
          <w:caps w:val="false"/>
          <w:smallCaps w:val="false"/>
          <w:sz w:val="20"/>
        </w:rPr>
        <w:t>1,000,000 RSUs granted to Mitchell Williams, the Company’s Chief Investment Officer, with a grant-date fair value of approximately $</w:t>
      </w:r>
      <w:bookmarkStart w:id="860" w:name="xdx_905_eus-gaap--StockIssuedDuringPerio"/>
      <w:bookmarkEnd w:id="860"/>
      <w:r>
        <w:rPr>
          <w:rFonts w:ascii="Times New Roman;Times;Serif" w:hAnsi="Times New Roman;Times;Serif"/>
          <w:b w:val="false"/>
          <w:i w:val="false"/>
          <w:caps w:val="false"/>
          <w:smallCaps w:val="false"/>
          <w:sz w:val="20"/>
        </w:rPr>
        <w:t>5.0 million. Also, included in this total are 40,000 RSUs granted to a third-party consultant for services for the period beginning in September through December 2025, with a grant-date fair value of approximately $</w:t>
      </w:r>
      <w:bookmarkStart w:id="861" w:name="xdx_905_eus-gaap--StockGrantedDuringPeri"/>
      <w:bookmarkEnd w:id="861"/>
      <w:r>
        <w:rPr>
          <w:rFonts w:ascii="Times New Roman;Times;Serif" w:hAnsi="Times New Roman;Times;Serif"/>
          <w:b w:val="false"/>
          <w:i w:val="false"/>
          <w:caps w:val="false"/>
          <w:smallCaps w:val="false"/>
          <w:sz w:val="20"/>
        </w:rPr>
        <w:t>155 thousand. As of September 30, 2025, approximately $</w:t>
      </w:r>
      <w:bookmarkStart w:id="862" w:name="xdx_903_eus-gaap--PrepaidExpenseCurrent_"/>
      <w:bookmarkEnd w:id="862"/>
      <w:r>
        <w:rPr>
          <w:rFonts w:ascii="Times New Roman;Times;Serif" w:hAnsi="Times New Roman;Times;Serif"/>
          <w:b w:val="false"/>
          <w:i w:val="false"/>
          <w:caps w:val="false"/>
          <w:smallCaps w:val="false"/>
          <w:sz w:val="20"/>
        </w:rPr>
        <w:t>125 thousand is included in prepaid expenses and vendor deposits on the accompanying condensed consolidated balance sheet.</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Williams RSUs vest over an 18-month period, with one-third vesting on April 24, 2026 and the remaining two-thirds vesting in five substantially equal quarterly installments thereafter, subject to continued service.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During the nine months ended September 30, 2025, the Company issued an aggregate of </w:t>
      </w:r>
      <w:bookmarkStart w:id="863" w:name="xdx_90F_eus-gaap--StockIssuedDuringPerio"/>
      <w:bookmarkEnd w:id="863"/>
      <w:r>
        <w:rPr>
          <w:rFonts w:ascii="Times New Roman;Times;Serif" w:hAnsi="Times New Roman;Times;Serif"/>
          <w:b w:val="false"/>
          <w:i w:val="false"/>
          <w:caps w:val="false"/>
          <w:smallCaps w:val="false"/>
          <w:sz w:val="20"/>
        </w:rPr>
        <w:t>135,000 RSUs for shares of its common stock for the settlement of accounts payable at a fair value of $</w:t>
      </w:r>
      <w:bookmarkStart w:id="864" w:name="xdx_907_eus-gaap--StockIssuedDuringPerio"/>
      <w:bookmarkEnd w:id="864"/>
      <w:r>
        <w:rPr>
          <w:rFonts w:ascii="Times New Roman;Times;Serif" w:hAnsi="Times New Roman;Times;Serif"/>
          <w:b w:val="false"/>
          <w:i w:val="false"/>
          <w:caps w:val="false"/>
          <w:smallCaps w:val="false"/>
          <w:sz w:val="20"/>
        </w:rPr>
        <w:t>0.2 million.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 based compensation expense related to RSU grants was $</w:t>
      </w:r>
      <w:bookmarkStart w:id="865" w:name="xdx_908_eus-gaap--ShareBasedCompensation"/>
      <w:bookmarkEnd w:id="865"/>
      <w:r>
        <w:rPr>
          <w:rFonts w:ascii="Times New Roman;Times;Serif" w:hAnsi="Times New Roman;Times;Serif"/>
          <w:b w:val="false"/>
          <w:i w:val="false"/>
          <w:caps w:val="false"/>
          <w:smallCaps w:val="false"/>
          <w:sz w:val="20"/>
        </w:rPr>
        <w:t>14.66 million and $</w:t>
      </w:r>
      <w:bookmarkStart w:id="866" w:name="xdx_907_eus-gaap--ShareBasedCompensation"/>
      <w:bookmarkEnd w:id="866"/>
      <w:r>
        <w:rPr>
          <w:rFonts w:ascii="Times New Roman;Times;Serif" w:hAnsi="Times New Roman;Times;Serif"/>
          <w:b w:val="false"/>
          <w:i w:val="false"/>
          <w:caps w:val="false"/>
          <w:smallCaps w:val="false"/>
          <w:sz w:val="20"/>
        </w:rPr>
        <w:t>4.59 million for the nine months ended September 30, 2025 and 2024, respectively. Stock based compensation expense related to RSU grants was $</w:t>
      </w:r>
      <w:bookmarkStart w:id="867" w:name="xdx_90B_eus-gaap--ShareBasedCompensation"/>
      <w:bookmarkEnd w:id="867"/>
      <w:r>
        <w:rPr>
          <w:rFonts w:ascii="Times New Roman;Times;Serif" w:hAnsi="Times New Roman;Times;Serif"/>
          <w:b w:val="false"/>
          <w:i w:val="false"/>
          <w:caps w:val="false"/>
          <w:smallCaps w:val="false"/>
          <w:sz w:val="20"/>
        </w:rPr>
        <w:t>0.87 million and $</w:t>
      </w:r>
      <w:bookmarkStart w:id="868" w:name="xdx_90F_eus-gaap--ShareBasedCompensation"/>
      <w:bookmarkEnd w:id="868"/>
      <w:r>
        <w:rPr>
          <w:rFonts w:ascii="Times New Roman;Times;Serif" w:hAnsi="Times New Roman;Times;Serif"/>
          <w:b w:val="false"/>
          <w:i w:val="false"/>
          <w:caps w:val="false"/>
          <w:smallCaps w:val="false"/>
          <w:sz w:val="20"/>
        </w:rPr>
        <w:t>1.02 million for the three months ended September 30, 2025 and 2024, respectively. As of September 30, 2025, the stock-based compensation relating to RSUs of $</w:t>
      </w:r>
      <w:bookmarkStart w:id="869" w:name="xdx_907_eus-gaap--EmployeeServiceShareBa"/>
      <w:bookmarkEnd w:id="869"/>
      <w:r>
        <w:rPr>
          <w:rFonts w:ascii="Times New Roman;Times;Serif" w:hAnsi="Times New Roman;Times;Serif"/>
          <w:b w:val="false"/>
          <w:i w:val="false"/>
          <w:caps w:val="false"/>
          <w:smallCaps w:val="false"/>
          <w:sz w:val="20"/>
        </w:rPr>
        <w:t xml:space="preserve">4.03 million remains unamortized and a remaining weighted average life of </w:t>
      </w:r>
      <w:bookmarkStart w:id="870" w:name="xdx_907_eus-gaap--ShareBasedCompensation"/>
      <w:bookmarkEnd w:id="870"/>
      <w:r>
        <w:rPr>
          <w:rFonts w:ascii="Times New Roman;Times;Serif" w:hAnsi="Times New Roman;Times;Serif"/>
          <w:b w:val="false"/>
          <w:i w:val="false"/>
          <w:caps w:val="false"/>
          <w:smallCaps w:val="false"/>
          <w:sz w:val="20"/>
        </w:rPr>
        <w:t>1.22 years.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ViralClear Pharmaceuticals, Inc.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2019 Long-Term Incentive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There are </w:t>
      </w:r>
      <w:bookmarkStart w:id="871" w:name="xdx_904_eus-gaap--ShareBasedCompensation"/>
      <w:bookmarkEnd w:id="871"/>
      <w:r>
        <w:rPr>
          <w:rFonts w:ascii="Times New Roman;Times;Serif" w:hAnsi="Times New Roman;Times;Serif"/>
          <w:b w:val="false"/>
          <w:i w:val="false"/>
          <w:caps w:val="false"/>
          <w:smallCaps w:val="false"/>
          <w:sz w:val="20"/>
        </w:rPr>
        <w:t>2,915,071 shares remaining available for future issuance of awards under the terms of the ViralClear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Warrants (ViralClear)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872" w:name="xdx_89B_eus-gaap--ScheduleOfStockholders"/>
      <w:bookmarkEnd w:id="872"/>
      <w:r>
        <w:rPr>
          <w:rFonts w:ascii="Times New Roman;Times;Serif" w:hAnsi="Times New Roman;Times;Serif"/>
          <w:b w:val="false"/>
          <w:i w:val="false"/>
          <w:caps w:val="false"/>
          <w:smallCaps w:val="false"/>
          <w:sz w:val="20"/>
        </w:rPr>
        <w:t>A summary of the warrant activity for nine months ended September 30, 2025 is as follows: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bookmarkStart w:id="873" w:name="xdx_8B0_zrwzkPiNHPt9"/>
      <w:bookmarkEnd w:id="873"/>
      <w:r>
        <w:rPr>
          <w:rFonts w:ascii="Times New Roman;Times;Serif" w:hAnsi="Times New Roman;Times;Serif"/>
          <w:b w:val="false"/>
          <w:i w:val="false"/>
          <w:caps w:val="false"/>
          <w:smallCaps w:val="false"/>
          <w:sz w:val="20"/>
        </w:rPr>
        <w:t>SCHEDULE OF WARRANT ACTIVITY</w:t>
      </w:r>
    </w:p>
    <w:tbl>
      <w:tblPr>
        <w:tblW w:w="8500" w:type="dxa"/>
        <w:jc w:val="left"/>
        <w:tblInd w:w="0" w:type="dxa"/>
        <w:tblLayout w:type="fixed"/>
        <w:tblCellMar>
          <w:top w:w="0" w:type="dxa"/>
          <w:left w:w="0" w:type="dxa"/>
          <w:bottom w:w="0" w:type="dxa"/>
          <w:right w:w="0" w:type="dxa"/>
        </w:tblCellMar>
      </w:tblPr>
      <w:tblGrid>
        <w:gridCol w:w="3380"/>
        <w:gridCol w:w="60"/>
        <w:gridCol w:w="60"/>
        <w:gridCol w:w="800"/>
        <w:gridCol w:w="95"/>
        <w:gridCol w:w="60"/>
        <w:gridCol w:w="385"/>
        <w:gridCol w:w="1540"/>
        <w:gridCol w:w="60"/>
        <w:gridCol w:w="60"/>
        <w:gridCol w:w="303"/>
        <w:gridCol w:w="1622"/>
        <w:gridCol w:w="75"/>
      </w:tblGrid>
      <w:tr>
        <w:trPr/>
        <w:tc>
          <w:tcPr>
            <w:tcW w:w="33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25"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25" w:type="dxa"/>
            <w:gridSpan w:val="2"/>
            <w:tcBorders/>
            <w:vAlign w:val="center"/>
          </w:tcPr>
          <w:p>
            <w:pPr>
              <w:pStyle w:val="TableContents"/>
              <w:bidi w:val="0"/>
              <w:spacing w:before="0" w:after="283"/>
              <w:jc w:val="center"/>
              <w:rPr>
                <w:b/>
              </w:rPr>
            </w:pPr>
            <w:r>
              <w:rPr>
                <w:b/>
              </w:rPr>
              <w:t>Weighted-Average</w:t>
            </w:r>
          </w:p>
        </w:tc>
        <w:tc>
          <w:tcPr>
            <w:tcW w:w="75" w:type="dxa"/>
            <w:tcBorders/>
            <w:vAlign w:val="center"/>
          </w:tcPr>
          <w:p>
            <w:pPr>
              <w:pStyle w:val="TableContents"/>
              <w:bidi w:val="0"/>
              <w:spacing w:before="0" w:after="283"/>
              <w:jc w:val="left"/>
              <w:rPr/>
            </w:pPr>
            <w:r>
              <w:rPr/>
              <w:t> </w:t>
            </w:r>
          </w:p>
        </w:tc>
      </w:tr>
      <w:tr>
        <w:trPr/>
        <w:tc>
          <w:tcPr>
            <w:tcW w:w="33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25"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25" w:type="dxa"/>
            <w:gridSpan w:val="2"/>
            <w:tcBorders/>
            <w:vAlign w:val="center"/>
          </w:tcPr>
          <w:p>
            <w:pPr>
              <w:pStyle w:val="TableContents"/>
              <w:bidi w:val="0"/>
              <w:spacing w:before="0" w:after="283"/>
              <w:jc w:val="center"/>
              <w:rPr>
                <w:b/>
              </w:rPr>
            </w:pPr>
            <w:r>
              <w:rPr>
                <w:b/>
              </w:rPr>
              <w:t>Remaining</w:t>
            </w:r>
          </w:p>
        </w:tc>
        <w:tc>
          <w:tcPr>
            <w:tcW w:w="75" w:type="dxa"/>
            <w:tcBorders/>
            <w:vAlign w:val="center"/>
          </w:tcPr>
          <w:p>
            <w:pPr>
              <w:pStyle w:val="TableContents"/>
              <w:bidi w:val="0"/>
              <w:spacing w:before="0" w:after="283"/>
              <w:jc w:val="left"/>
              <w:rPr/>
            </w:pPr>
            <w:r>
              <w:rPr/>
              <w:t> </w:t>
            </w:r>
          </w:p>
        </w:tc>
      </w:tr>
      <w:tr>
        <w:trPr/>
        <w:tc>
          <w:tcPr>
            <w:tcW w:w="33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25" w:type="dxa"/>
            <w:gridSpan w:val="2"/>
            <w:tcBorders/>
            <w:vAlign w:val="center"/>
          </w:tcPr>
          <w:p>
            <w:pPr>
              <w:pStyle w:val="TableContents"/>
              <w:bidi w:val="0"/>
              <w:spacing w:before="0" w:after="283"/>
              <w:jc w:val="center"/>
              <w:rPr>
                <w:b/>
              </w:rPr>
            </w:pPr>
            <w:r>
              <w:rPr>
                <w:b/>
              </w:rPr>
              <w:t>Weighted-Average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25" w:type="dxa"/>
            <w:gridSpan w:val="2"/>
            <w:tcBorders/>
            <w:vAlign w:val="center"/>
          </w:tcPr>
          <w:p>
            <w:pPr>
              <w:pStyle w:val="TableContents"/>
              <w:bidi w:val="0"/>
              <w:spacing w:before="0" w:after="283"/>
              <w:jc w:val="center"/>
              <w:rPr>
                <w:b/>
              </w:rPr>
            </w:pPr>
            <w:r>
              <w:rPr>
                <w:b/>
              </w:rPr>
              <w:t>Contractual</w:t>
            </w:r>
          </w:p>
        </w:tc>
        <w:tc>
          <w:tcPr>
            <w:tcW w:w="75" w:type="dxa"/>
            <w:tcBorders/>
            <w:vAlign w:val="center"/>
          </w:tcPr>
          <w:p>
            <w:pPr>
              <w:pStyle w:val="TableContents"/>
              <w:bidi w:val="0"/>
              <w:spacing w:before="0" w:after="283"/>
              <w:jc w:val="left"/>
              <w:rPr/>
            </w:pPr>
            <w:r>
              <w:rPr/>
              <w:t> </w:t>
            </w:r>
          </w:p>
        </w:tc>
      </w:tr>
      <w:tr>
        <w:trPr/>
        <w:tc>
          <w:tcPr>
            <w:tcW w:w="33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Shares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2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Exercise Price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2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Term</w:t>
            </w:r>
          </w:p>
        </w:tc>
        <w:tc>
          <w:tcPr>
            <w:tcW w:w="75" w:type="dxa"/>
            <w:tcBorders/>
            <w:vAlign w:val="center"/>
          </w:tcPr>
          <w:p>
            <w:pPr>
              <w:pStyle w:val="TableContents"/>
              <w:bidi w:val="0"/>
              <w:spacing w:before="0" w:after="283"/>
              <w:jc w:val="left"/>
              <w:rPr/>
            </w:pPr>
            <w:r>
              <w:rPr/>
              <w:t> </w:t>
            </w:r>
          </w:p>
        </w:tc>
      </w:tr>
      <w:tr>
        <w:trPr/>
        <w:tc>
          <w:tcPr>
            <w:tcW w:w="3380" w:type="dxa"/>
            <w:tcBorders/>
            <w:shd w:fill="CCEEFF" w:val="clear"/>
            <w:vAlign w:val="center"/>
          </w:tcPr>
          <w:p>
            <w:pPr>
              <w:pStyle w:val="TableContents"/>
              <w:bidi w:val="0"/>
              <w:spacing w:before="0" w:after="283"/>
              <w:jc w:val="left"/>
              <w:rPr/>
            </w:pPr>
            <w:r>
              <w:rPr/>
              <w:t>Outstanding at January 1, 2025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874" w:name="xdx_983_eus-gaap--ClassOfWarrantOrRightO"/>
            <w:bookmarkEnd w:id="874"/>
          </w:p>
        </w:tc>
        <w:tc>
          <w:tcPr>
            <w:tcW w:w="800" w:type="dxa"/>
            <w:tcBorders/>
            <w:shd w:fill="CCEEFF" w:val="clear"/>
            <w:vAlign w:val="center"/>
          </w:tcPr>
          <w:p>
            <w:pPr>
              <w:pStyle w:val="TableContents"/>
              <w:bidi w:val="0"/>
              <w:spacing w:before="0" w:after="283"/>
              <w:jc w:val="right"/>
              <w:rPr/>
            </w:pPr>
            <w:r>
              <w:rPr/>
              <w:t>480,347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85" w:type="dxa"/>
            <w:tcBorders/>
            <w:shd w:fill="CCEEFF" w:val="clear"/>
            <w:vAlign w:val="center"/>
          </w:tcPr>
          <w:p>
            <w:pPr>
              <w:pStyle w:val="TableContents"/>
              <w:bidi w:val="0"/>
              <w:spacing w:before="0" w:after="283"/>
              <w:jc w:val="left"/>
              <w:rPr/>
            </w:pPr>
            <w:r>
              <w:rPr/>
              <w:t>$</w:t>
            </w:r>
            <w:bookmarkStart w:id="875" w:name="xdx_985_eus-gaap--ClassOfWarrantOrRightE"/>
            <w:bookmarkEnd w:id="875"/>
          </w:p>
        </w:tc>
        <w:tc>
          <w:tcPr>
            <w:tcW w:w="1540" w:type="dxa"/>
            <w:tcBorders/>
            <w:shd w:fill="CCEEFF" w:val="clear"/>
            <w:vAlign w:val="center"/>
          </w:tcPr>
          <w:p>
            <w:pPr>
              <w:pStyle w:val="TableContents"/>
              <w:bidi w:val="0"/>
              <w:spacing w:before="0" w:after="283"/>
              <w:jc w:val="right"/>
              <w:rPr/>
            </w:pPr>
            <w:r>
              <w:rPr/>
              <w:t>5.07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3" w:type="dxa"/>
            <w:tcBorders/>
            <w:shd w:fill="CCEEFF" w:val="clear"/>
            <w:vAlign w:val="center"/>
          </w:tcPr>
          <w:p>
            <w:pPr>
              <w:pStyle w:val="TableContents"/>
              <w:bidi w:val="0"/>
              <w:spacing w:before="0" w:after="283"/>
              <w:jc w:val="left"/>
              <w:rPr/>
            </w:pPr>
            <w:r>
              <w:rPr/>
              <w:t> </w:t>
            </w:r>
            <w:bookmarkStart w:id="876" w:name="xdx_980_ecustom--WarrantsOutstandingWeig"/>
            <w:bookmarkEnd w:id="876"/>
          </w:p>
        </w:tc>
        <w:tc>
          <w:tcPr>
            <w:tcW w:w="1622" w:type="dxa"/>
            <w:tcBorders/>
            <w:shd w:fill="CCEEFF" w:val="clear"/>
            <w:vAlign w:val="center"/>
          </w:tcPr>
          <w:p>
            <w:pPr>
              <w:pStyle w:val="TableContents"/>
              <w:bidi w:val="0"/>
              <w:spacing w:before="0" w:after="283"/>
              <w:jc w:val="right"/>
              <w:rPr/>
            </w:pPr>
            <w:r>
              <w:rPr/>
              <w:t>2.9</w:t>
            </w:r>
          </w:p>
        </w:tc>
        <w:tc>
          <w:tcPr>
            <w:tcW w:w="75" w:type="dxa"/>
            <w:tcBorders/>
            <w:shd w:fill="CCEEFF" w:val="clear"/>
            <w:vAlign w:val="center"/>
          </w:tcPr>
          <w:p>
            <w:pPr>
              <w:pStyle w:val="TableContents"/>
              <w:bidi w:val="0"/>
              <w:spacing w:before="0" w:after="283"/>
              <w:jc w:val="left"/>
              <w:rPr/>
            </w:pPr>
            <w:r>
              <w:rPr/>
              <w:t> </w:t>
            </w:r>
          </w:p>
        </w:tc>
      </w:tr>
      <w:tr>
        <w:trPr/>
        <w:tc>
          <w:tcPr>
            <w:tcW w:w="3380" w:type="dxa"/>
            <w:tcBorders/>
            <w:shd w:fill="FFFFFF" w:val="clear"/>
            <w:vAlign w:val="center"/>
          </w:tcPr>
          <w:p>
            <w:pPr>
              <w:pStyle w:val="TableContents"/>
              <w:bidi w:val="0"/>
              <w:spacing w:before="0" w:after="283"/>
              <w:jc w:val="left"/>
              <w:rPr/>
            </w:pPr>
            <w:r>
              <w:rPr/>
              <w:t>Forfeited/expired</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877" w:name="xdx_983_ecustom--ClassOfWarrantsOrRightF"/>
            <w:bookmarkEnd w:id="877"/>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pPr>
            <w:r>
              <w:rPr/>
              <w:t>(6,575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38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878" w:name="xdx_98F_ecustom--ClassOfWarrantOrRightsW"/>
            <w:bookmarkEnd w:id="878"/>
          </w:p>
        </w:tc>
        <w:tc>
          <w:tcPr>
            <w:tcW w:w="1540" w:type="dxa"/>
            <w:tcBorders>
              <w:bottom w:val="single" w:sz="8" w:space="0" w:color="000000"/>
            </w:tcBorders>
            <w:shd w:fill="FFFFFF" w:val="clear"/>
            <w:tcMar>
              <w:bottom w:w="28" w:type="dxa"/>
            </w:tcMar>
            <w:vAlign w:val="center"/>
          </w:tcPr>
          <w:p>
            <w:pPr>
              <w:pStyle w:val="TableContents"/>
              <w:bidi w:val="0"/>
              <w:spacing w:before="0" w:after="283"/>
              <w:jc w:val="right"/>
              <w:rPr/>
            </w:pPr>
            <w:r>
              <w:rPr/>
              <w:t>10.00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622"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3380" w:type="dxa"/>
            <w:tcBorders/>
            <w:shd w:fill="CCEEFF" w:val="clear"/>
            <w:vAlign w:val="center"/>
          </w:tcPr>
          <w:p>
            <w:pPr>
              <w:pStyle w:val="TableContents"/>
              <w:bidi w:val="0"/>
              <w:spacing w:before="0" w:after="283"/>
              <w:jc w:val="left"/>
              <w:rPr/>
            </w:pPr>
            <w:r>
              <w:rPr/>
              <w:t>Outstanding at September 30, 2025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879" w:name="xdx_98C_eus-gaap--ClassOfWarrantOrRightO"/>
            <w:bookmarkEnd w:id="879"/>
          </w:p>
        </w:tc>
        <w:tc>
          <w:tcPr>
            <w:tcW w:w="800" w:type="dxa"/>
            <w:tcBorders/>
            <w:shd w:fill="CCEEFF" w:val="clear"/>
            <w:vAlign w:val="center"/>
          </w:tcPr>
          <w:p>
            <w:pPr>
              <w:pStyle w:val="TableContents"/>
              <w:bidi w:val="0"/>
              <w:spacing w:before="0" w:after="283"/>
              <w:jc w:val="right"/>
              <w:rPr/>
            </w:pPr>
            <w:r>
              <w:rPr/>
              <w:t>473,772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85" w:type="dxa"/>
            <w:tcBorders/>
            <w:shd w:fill="CCEEFF" w:val="clear"/>
            <w:vAlign w:val="center"/>
          </w:tcPr>
          <w:p>
            <w:pPr>
              <w:pStyle w:val="TableContents"/>
              <w:bidi w:val="0"/>
              <w:spacing w:before="0" w:after="283"/>
              <w:jc w:val="left"/>
              <w:rPr/>
            </w:pPr>
            <w:r>
              <w:rPr/>
              <w:t>$</w:t>
            </w:r>
          </w:p>
        </w:tc>
        <w:tc>
          <w:tcPr>
            <w:tcW w:w="1540" w:type="dxa"/>
            <w:tcBorders/>
            <w:shd w:fill="CCEEFF" w:val="clear"/>
            <w:vAlign w:val="center"/>
          </w:tcPr>
          <w:p>
            <w:pPr>
              <w:pStyle w:val="TableContents"/>
              <w:bidi w:val="0"/>
              <w:spacing w:before="0" w:after="283"/>
              <w:jc w:val="right"/>
              <w:rPr/>
            </w:pPr>
            <w:bookmarkStart w:id="880" w:name="xdx_902_ecustom--ClassOfWarrantOrRightsW"/>
            <w:bookmarkEnd w:id="880"/>
            <w:r>
              <w:rPr/>
              <w:t>5.00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3" w:type="dxa"/>
            <w:tcBorders/>
            <w:shd w:fill="CCEEFF" w:val="clear"/>
            <w:vAlign w:val="center"/>
          </w:tcPr>
          <w:p>
            <w:pPr>
              <w:pStyle w:val="TableContents"/>
              <w:bidi w:val="0"/>
              <w:spacing w:before="0" w:after="283"/>
              <w:jc w:val="left"/>
              <w:rPr/>
            </w:pPr>
            <w:r>
              <w:rPr/>
              <w:t> </w:t>
            </w:r>
          </w:p>
        </w:tc>
        <w:tc>
          <w:tcPr>
            <w:tcW w:w="1622" w:type="dxa"/>
            <w:tcBorders/>
            <w:shd w:fill="CCEEFF" w:val="clear"/>
            <w:vAlign w:val="center"/>
          </w:tcPr>
          <w:p>
            <w:pPr>
              <w:pStyle w:val="TableContents"/>
              <w:bidi w:val="0"/>
              <w:spacing w:before="0" w:after="283"/>
              <w:jc w:val="right"/>
              <w:rPr/>
            </w:pPr>
            <w:bookmarkStart w:id="881" w:name="xdx_906_ecustom--WarrantsOutstandingWeig"/>
            <w:bookmarkEnd w:id="881"/>
            <w:r>
              <w:rPr/>
              <w:t>2.1</w:t>
            </w:r>
          </w:p>
        </w:tc>
        <w:tc>
          <w:tcPr>
            <w:tcW w:w="75" w:type="dxa"/>
            <w:tcBorders/>
            <w:shd w:fill="CCEEFF" w:val="clear"/>
            <w:vAlign w:val="center"/>
          </w:tcPr>
          <w:p>
            <w:pPr>
              <w:pStyle w:val="TableContents"/>
              <w:bidi w:val="0"/>
              <w:spacing w:before="0" w:after="283"/>
              <w:jc w:val="left"/>
              <w:rPr/>
            </w:pPr>
            <w:r>
              <w:rPr/>
              <w:t> </w:t>
            </w:r>
          </w:p>
        </w:tc>
      </w:tr>
      <w:tr>
        <w:trPr/>
        <w:tc>
          <w:tcPr>
            <w:tcW w:w="3380" w:type="dxa"/>
            <w:tcBorders/>
            <w:shd w:fill="FFFFFF" w:val="clear"/>
            <w:vAlign w:val="center"/>
          </w:tcPr>
          <w:p>
            <w:pPr>
              <w:pStyle w:val="TableContents"/>
              <w:bidi w:val="0"/>
              <w:spacing w:before="0" w:after="283"/>
              <w:jc w:val="left"/>
              <w:rPr/>
            </w:pPr>
            <w:r>
              <w:rPr/>
              <w:t>Exercisable at September 30, 2025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882" w:name="xdx_982_ecustom--ClassOfWarrantOrRightsE"/>
            <w:bookmarkEnd w:id="882"/>
          </w:p>
        </w:tc>
        <w:tc>
          <w:tcPr>
            <w:tcW w:w="800" w:type="dxa"/>
            <w:tcBorders/>
            <w:shd w:fill="FFFFFF" w:val="clear"/>
            <w:vAlign w:val="center"/>
          </w:tcPr>
          <w:p>
            <w:pPr>
              <w:pStyle w:val="TableContents"/>
              <w:bidi w:val="0"/>
              <w:spacing w:before="0" w:after="283"/>
              <w:jc w:val="right"/>
              <w:rPr/>
            </w:pPr>
            <w:r>
              <w:rPr/>
              <w:t>473,772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85" w:type="dxa"/>
            <w:tcBorders/>
            <w:shd w:fill="FFFFFF" w:val="clear"/>
            <w:vAlign w:val="center"/>
          </w:tcPr>
          <w:p>
            <w:pPr>
              <w:pStyle w:val="TableContents"/>
              <w:bidi w:val="0"/>
              <w:spacing w:before="0" w:after="283"/>
              <w:jc w:val="left"/>
              <w:rPr/>
            </w:pPr>
            <w:r>
              <w:rPr/>
              <w:t>$</w:t>
            </w:r>
            <w:bookmarkStart w:id="883" w:name="xdx_988_ecustom--ClassOfWarrantOrRightsW"/>
            <w:bookmarkEnd w:id="883"/>
          </w:p>
        </w:tc>
        <w:tc>
          <w:tcPr>
            <w:tcW w:w="1540" w:type="dxa"/>
            <w:tcBorders/>
            <w:shd w:fill="FFFFFF" w:val="clear"/>
            <w:vAlign w:val="center"/>
          </w:tcPr>
          <w:p>
            <w:pPr>
              <w:pStyle w:val="TableContents"/>
              <w:bidi w:val="0"/>
              <w:spacing w:before="0" w:after="283"/>
              <w:jc w:val="right"/>
              <w:rPr/>
            </w:pPr>
            <w:r>
              <w:rPr/>
              <w:t>5.00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3" w:type="dxa"/>
            <w:tcBorders/>
            <w:shd w:fill="FFFFFF" w:val="clear"/>
            <w:vAlign w:val="center"/>
          </w:tcPr>
          <w:p>
            <w:pPr>
              <w:pStyle w:val="TableContents"/>
              <w:bidi w:val="0"/>
              <w:spacing w:before="0" w:after="283"/>
              <w:jc w:val="left"/>
              <w:rPr/>
            </w:pPr>
            <w:r>
              <w:rPr/>
              <w:t> </w:t>
            </w:r>
          </w:p>
        </w:tc>
        <w:tc>
          <w:tcPr>
            <w:tcW w:w="1622" w:type="dxa"/>
            <w:tcBorders/>
            <w:shd w:fill="FFFFFF" w:val="clear"/>
            <w:vAlign w:val="center"/>
          </w:tcPr>
          <w:p>
            <w:pPr>
              <w:pStyle w:val="TableContents"/>
              <w:bidi w:val="0"/>
              <w:spacing w:before="0" w:after="283"/>
              <w:jc w:val="right"/>
              <w:rPr/>
            </w:pPr>
            <w:bookmarkStart w:id="884" w:name="xdx_904_ecustom--WarrantsExercisableWeig"/>
            <w:bookmarkEnd w:id="884"/>
            <w:r>
              <w:rPr/>
              <w:t>2.1</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885" w:name="xdx_8AC_zTNEoRGOQcs2"/>
      <w:bookmarkEnd w:id="885"/>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886" w:name="xdx_896_ecustom--ScheduleOfWarrantsOrRig"/>
      <w:bookmarkEnd w:id="886"/>
      <w:r>
        <w:rPr>
          <w:rFonts w:ascii="Times New Roman;Times;Serif" w:hAnsi="Times New Roman;Times;Serif"/>
          <w:b w:val="false"/>
          <w:i w:val="false"/>
          <w:caps w:val="false"/>
          <w:smallCaps w:val="false"/>
          <w:sz w:val="20"/>
        </w:rPr>
        <w:t>The following table presents information related to warrants (ViralClear) at September 30, 2025:</w:t>
      </w:r>
    </w:p>
    <w:p>
      <w:pPr>
        <w:pStyle w:val="TextBody"/>
        <w:bidi w:val="0"/>
        <w:spacing w:before="0" w:after="0"/>
        <w:ind w:left="0" w:right="0" w:hanging="0"/>
        <w:jc w:val="both"/>
        <w:rPr>
          <w:caps w:val="false"/>
          <w:smallCaps w:val="false"/>
        </w:rPr>
      </w:pPr>
      <w:r>
        <w:rPr>
          <w:caps w:val="false"/>
          <w:smallCaps w:val="false"/>
        </w:rPr>
        <w:t> </w:t>
      </w:r>
      <w:bookmarkStart w:id="887" w:name="xdx_8B5_zxZVguAKDha6"/>
      <w:bookmarkEnd w:id="887"/>
      <w:r>
        <w:rPr>
          <w:rFonts w:ascii="Times New Roman;Times;Serif" w:hAnsi="Times New Roman;Times;Serif"/>
          <w:b w:val="false"/>
          <w:i w:val="false"/>
          <w:caps w:val="false"/>
          <w:smallCaps w:val="false"/>
          <w:sz w:val="20"/>
        </w:rPr>
        <w:t>SCHEDULE OF INFORMATION RELATED TO WARRANTS</w:t>
      </w:r>
    </w:p>
    <w:tbl>
      <w:tblPr>
        <w:tblW w:w="3990" w:type="dxa"/>
        <w:jc w:val="left"/>
        <w:tblInd w:w="0" w:type="dxa"/>
        <w:tblLayout w:type="fixed"/>
        <w:tblCellMar>
          <w:top w:w="0" w:type="dxa"/>
          <w:left w:w="0" w:type="dxa"/>
          <w:bottom w:w="0" w:type="dxa"/>
          <w:right w:w="0" w:type="dxa"/>
        </w:tblCellMar>
      </w:tblPr>
      <w:tblGrid>
        <w:gridCol w:w="231"/>
        <w:gridCol w:w="659"/>
        <w:gridCol w:w="60"/>
        <w:gridCol w:w="60"/>
        <w:gridCol w:w="89"/>
        <w:gridCol w:w="1191"/>
        <w:gridCol w:w="60"/>
        <w:gridCol w:w="60"/>
        <w:gridCol w:w="1580"/>
      </w:tblGrid>
      <w:tr>
        <w:trPr/>
        <w:tc>
          <w:tcPr>
            <w:tcW w:w="890" w:type="dxa"/>
            <w:gridSpan w:val="2"/>
            <w:tcBorders/>
            <w:vAlign w:val="center"/>
          </w:tcPr>
          <w:p>
            <w:pPr>
              <w:pStyle w:val="TableContents"/>
              <w:bidi w:val="0"/>
              <w:spacing w:before="0" w:after="283"/>
              <w:jc w:val="center"/>
              <w:rPr>
                <w:b/>
              </w:rPr>
            </w:pPr>
            <w:r>
              <w:rPr>
                <w:b/>
              </w:rPr>
              <w:t>Exercise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0" w:type="dxa"/>
            <w:gridSpan w:val="2"/>
            <w:tcBorders/>
            <w:vAlign w:val="center"/>
          </w:tcPr>
          <w:p>
            <w:pPr>
              <w:pStyle w:val="TableContents"/>
              <w:bidi w:val="0"/>
              <w:spacing w:before="0" w:after="283"/>
              <w:jc w:val="center"/>
              <w:rPr>
                <w:b/>
              </w:rPr>
            </w:pPr>
            <w:r>
              <w:rPr>
                <w:b/>
              </w:rPr>
              <w:t>Number</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80" w:type="dxa"/>
            <w:tcBorders/>
            <w:vAlign w:val="center"/>
          </w:tcPr>
          <w:p>
            <w:pPr>
              <w:pStyle w:val="TableContents"/>
              <w:bidi w:val="0"/>
              <w:spacing w:before="0" w:after="283"/>
              <w:jc w:val="center"/>
              <w:rPr>
                <w:b/>
              </w:rPr>
            </w:pPr>
            <w:r>
              <w:rPr>
                <w:b/>
              </w:rPr>
              <w:t>Expiration</w:t>
            </w:r>
          </w:p>
        </w:tc>
      </w:tr>
      <w:tr>
        <w:trPr/>
        <w:tc>
          <w:tcPr>
            <w:tcW w:w="89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Price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Outstanding</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80" w:type="dxa"/>
            <w:tcBorders>
              <w:bottom w:val="single" w:sz="8" w:space="0" w:color="000000"/>
            </w:tcBorders>
            <w:tcMar>
              <w:bottom w:w="28" w:type="dxa"/>
            </w:tcMar>
            <w:vAlign w:val="center"/>
          </w:tcPr>
          <w:p>
            <w:pPr>
              <w:pStyle w:val="TableContents"/>
              <w:bidi w:val="0"/>
              <w:spacing w:before="0" w:after="283"/>
              <w:jc w:val="center"/>
              <w:rPr>
                <w:b/>
              </w:rPr>
            </w:pPr>
            <w:r>
              <w:rPr>
                <w:b/>
              </w:rPr>
              <w:t>Date</w:t>
            </w:r>
          </w:p>
        </w:tc>
      </w:tr>
      <w:tr>
        <w:trPr/>
        <w:tc>
          <w:tcPr>
            <w:tcW w:w="231" w:type="dxa"/>
            <w:tcBorders/>
            <w:shd w:fill="CCEEFF" w:val="clear"/>
            <w:vAlign w:val="center"/>
          </w:tcPr>
          <w:p>
            <w:pPr>
              <w:pStyle w:val="TableContents"/>
              <w:bidi w:val="0"/>
              <w:spacing w:before="0" w:after="283"/>
              <w:jc w:val="left"/>
              <w:rPr/>
            </w:pPr>
            <w:r>
              <w:rPr/>
              <w:t>$</w:t>
            </w:r>
            <w:bookmarkStart w:id="888" w:name="xdx_985_eus-gaap--ClassOfWarrantOrRightE"/>
            <w:bookmarkEnd w:id="888"/>
          </w:p>
        </w:tc>
        <w:tc>
          <w:tcPr>
            <w:tcW w:w="659" w:type="dxa"/>
            <w:tcBorders/>
            <w:shd w:fill="CCEEFF" w:val="clear"/>
            <w:vAlign w:val="center"/>
          </w:tcPr>
          <w:p>
            <w:pPr>
              <w:pStyle w:val="TableContents"/>
              <w:bidi w:val="0"/>
              <w:spacing w:before="0" w:after="283"/>
              <w:jc w:val="right"/>
              <w:rPr/>
            </w:pPr>
            <w:r>
              <w:rPr/>
              <w:t>5.00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bookmarkStart w:id="889" w:name="xdx_983_eus-gaap--ClassOfWarrantOrRightO"/>
            <w:bookmarkEnd w:id="889"/>
          </w:p>
        </w:tc>
        <w:tc>
          <w:tcPr>
            <w:tcW w:w="1191" w:type="dxa"/>
            <w:tcBorders/>
            <w:shd w:fill="CCEEFF" w:val="clear"/>
            <w:vAlign w:val="center"/>
          </w:tcPr>
          <w:p>
            <w:pPr>
              <w:pStyle w:val="TableContents"/>
              <w:bidi w:val="0"/>
              <w:spacing w:before="0" w:after="283"/>
              <w:jc w:val="right"/>
              <w:rPr/>
            </w:pPr>
            <w:r>
              <w:rPr/>
              <w:t>473,772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890" w:name="xdx_981_ecustom--WarrantsExpirationDateD"/>
            <w:bookmarkEnd w:id="890"/>
          </w:p>
        </w:tc>
        <w:tc>
          <w:tcPr>
            <w:tcW w:w="1580" w:type="dxa"/>
            <w:tcBorders/>
            <w:shd w:fill="CCEEFF" w:val="clear"/>
            <w:vAlign w:val="center"/>
          </w:tcPr>
          <w:p>
            <w:pPr>
              <w:pStyle w:val="TableContents"/>
              <w:bidi w:val="0"/>
              <w:spacing w:before="0" w:after="283"/>
              <w:jc w:val="center"/>
              <w:rPr/>
            </w:pPr>
            <w:r>
              <w:rPr/>
              <w:t>November 2027</w:t>
            </w:r>
          </w:p>
        </w:tc>
      </w:tr>
    </w:tbl>
    <w:p>
      <w:pPr>
        <w:pStyle w:val="TextBody"/>
        <w:bidi w:val="0"/>
        <w:spacing w:before="0" w:after="0"/>
        <w:ind w:left="0" w:right="0" w:hanging="0"/>
        <w:jc w:val="both"/>
        <w:rPr>
          <w:caps w:val="false"/>
          <w:smallCaps w:val="false"/>
        </w:rPr>
      </w:pPr>
      <w:bookmarkStart w:id="891" w:name="xdx_8AE_zjbYXewhvwq2"/>
      <w:bookmarkEnd w:id="891"/>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Restricted stock units (ViralClear)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892" w:name="xdx_897_eus-gaap--NonvestedRestrictedSto"/>
      <w:bookmarkEnd w:id="892"/>
      <w:r>
        <w:rPr>
          <w:rFonts w:ascii="Times New Roman;Times;Serif" w:hAnsi="Times New Roman;Times;Serif"/>
          <w:b w:val="false"/>
          <w:i w:val="false"/>
          <w:caps w:val="false"/>
          <w:smallCaps w:val="false"/>
          <w:sz w:val="20"/>
        </w:rPr>
        <w:t>The following table summarizes the restricted stock activity for the nine months ended September 30,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bookmarkStart w:id="893" w:name="xdx_8B1_zk300Jmr4gFl"/>
      <w:bookmarkEnd w:id="893"/>
      <w:r>
        <w:rPr>
          <w:rFonts w:ascii="Times New Roman;Times;Serif" w:hAnsi="Times New Roman;Times;Serif"/>
          <w:b w:val="false"/>
          <w:i w:val="false"/>
          <w:caps w:val="false"/>
          <w:smallCaps w:val="false"/>
          <w:sz w:val="20"/>
        </w:rPr>
        <w:t>SCHEDULE OF RESTRICTED STOCK ACTIVITY</w:t>
      </w:r>
    </w:p>
    <w:tbl>
      <w:tblPr>
        <w:tblW w:w="6490" w:type="dxa"/>
        <w:jc w:val="left"/>
        <w:tblInd w:w="0" w:type="dxa"/>
        <w:tblLayout w:type="fixed"/>
        <w:tblCellMar>
          <w:top w:w="0" w:type="dxa"/>
          <w:left w:w="0" w:type="dxa"/>
          <w:bottom w:w="0" w:type="dxa"/>
          <w:right w:w="0" w:type="dxa"/>
        </w:tblCellMar>
      </w:tblPr>
      <w:tblGrid>
        <w:gridCol w:w="5495"/>
        <w:gridCol w:w="60"/>
        <w:gridCol w:w="60"/>
        <w:gridCol w:w="800"/>
        <w:gridCol w:w="75"/>
      </w:tblGrid>
      <w:tr>
        <w:trPr/>
        <w:tc>
          <w:tcPr>
            <w:tcW w:w="5495" w:type="dxa"/>
            <w:tcBorders/>
            <w:shd w:fill="CCEEFF" w:val="clear"/>
            <w:vAlign w:val="center"/>
          </w:tcPr>
          <w:p>
            <w:pPr>
              <w:pStyle w:val="TableContents"/>
              <w:bidi w:val="0"/>
              <w:spacing w:before="0" w:after="283"/>
              <w:jc w:val="left"/>
              <w:rPr/>
            </w:pPr>
            <w:r>
              <w:rPr/>
              <w:t>Restricted shares outstanding at January 1, 2025: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894" w:name="xdx_988_eus-gaap--ShareBasedCompensation"/>
            <w:bookmarkEnd w:id="894"/>
          </w:p>
        </w:tc>
        <w:tc>
          <w:tcPr>
            <w:tcW w:w="800" w:type="dxa"/>
            <w:tcBorders/>
            <w:shd w:fill="CCEEFF" w:val="clear"/>
            <w:vAlign w:val="center"/>
          </w:tcPr>
          <w:p>
            <w:pPr>
              <w:pStyle w:val="TableContents"/>
              <w:bidi w:val="0"/>
              <w:spacing w:before="0" w:after="283"/>
              <w:jc w:val="right"/>
              <w:rPr/>
            </w:pPr>
            <w:r>
              <w:rPr/>
              <w:t>678,679</w:t>
            </w:r>
          </w:p>
        </w:tc>
        <w:tc>
          <w:tcPr>
            <w:tcW w:w="75" w:type="dxa"/>
            <w:tcBorders/>
            <w:shd w:fill="CCEEFF" w:val="clear"/>
            <w:vAlign w:val="center"/>
          </w:tcPr>
          <w:p>
            <w:pPr>
              <w:pStyle w:val="TableContents"/>
              <w:bidi w:val="0"/>
              <w:spacing w:before="0" w:after="283"/>
              <w:jc w:val="left"/>
              <w:rPr/>
            </w:pPr>
            <w:r>
              <w:rPr/>
              <w:t> </w:t>
            </w:r>
          </w:p>
        </w:tc>
      </w:tr>
      <w:tr>
        <w:trPr/>
        <w:tc>
          <w:tcPr>
            <w:tcW w:w="5495" w:type="dxa"/>
            <w:tcBorders/>
            <w:shd w:fill="FFFFFF" w:val="clear"/>
            <w:vAlign w:val="center"/>
          </w:tcPr>
          <w:p>
            <w:pPr>
              <w:pStyle w:val="TableContents"/>
              <w:bidi w:val="0"/>
              <w:spacing w:before="0" w:after="283"/>
              <w:jc w:val="left"/>
              <w:rPr/>
            </w:pPr>
            <w:r>
              <w:rPr/>
              <w:t>Forfeited</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895" w:name="xdx_986_eus-gaap--ShareBasedCompensation"/>
            <w:bookmarkEnd w:id="895"/>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5495" w:type="dxa"/>
            <w:tcBorders/>
            <w:shd w:fill="CCEEFF" w:val="clear"/>
            <w:vAlign w:val="center"/>
          </w:tcPr>
          <w:p>
            <w:pPr>
              <w:pStyle w:val="TableContents"/>
              <w:bidi w:val="0"/>
              <w:spacing w:before="0" w:after="283"/>
              <w:jc w:val="left"/>
              <w:rPr/>
            </w:pPr>
            <w:r>
              <w:rPr/>
              <w:t>Total restricted shares outstanding at September 30, 2025:</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896" w:name="xdx_98C_eus-gaap--ShareBasedCompensation"/>
            <w:bookmarkEnd w:id="896"/>
          </w:p>
        </w:tc>
        <w:tc>
          <w:tcPr>
            <w:tcW w:w="800" w:type="dxa"/>
            <w:tcBorders>
              <w:bottom w:val="double" w:sz="6" w:space="0" w:color="000000"/>
            </w:tcBorders>
            <w:shd w:fill="CCEEFF" w:val="clear"/>
            <w:tcMar>
              <w:bottom w:w="28" w:type="dxa"/>
            </w:tcMar>
            <w:vAlign w:val="center"/>
          </w:tcPr>
          <w:p>
            <w:pPr>
              <w:pStyle w:val="TableContents"/>
              <w:bidi w:val="0"/>
              <w:spacing w:before="0" w:after="283"/>
              <w:jc w:val="right"/>
              <w:rPr/>
            </w:pPr>
            <w:r>
              <w:rPr/>
              <w:t>678,679</w:t>
            </w:r>
          </w:p>
        </w:tc>
        <w:tc>
          <w:tcPr>
            <w:tcW w:w="75" w:type="dxa"/>
            <w:tcBorders/>
            <w:shd w:fill="CCEEFF" w:val="clear"/>
            <w:vAlign w:val="center"/>
          </w:tcPr>
          <w:p>
            <w:pPr>
              <w:pStyle w:val="TableContents"/>
              <w:bidi w:val="0"/>
              <w:spacing w:before="0" w:after="283"/>
              <w:jc w:val="left"/>
              <w:rPr/>
            </w:pPr>
            <w:r>
              <w:rPr/>
              <w:t> </w:t>
            </w:r>
          </w:p>
        </w:tc>
      </w:tr>
      <w:tr>
        <w:trPr/>
        <w:tc>
          <w:tcPr>
            <w:tcW w:w="54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5495" w:type="dxa"/>
            <w:tcBorders/>
            <w:shd w:fill="CCEEFF" w:val="clear"/>
            <w:vAlign w:val="center"/>
          </w:tcPr>
          <w:p>
            <w:pPr>
              <w:pStyle w:val="TableContents"/>
              <w:bidi w:val="0"/>
              <w:spacing w:before="0" w:after="283"/>
              <w:jc w:val="left"/>
              <w:rPr/>
            </w:pPr>
            <w:r>
              <w:rPr/>
              <w:t>Comprised of:</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5495" w:type="dxa"/>
            <w:tcBorders/>
            <w:shd w:fill="FFFFFF" w:val="clear"/>
            <w:vAlign w:val="center"/>
          </w:tcPr>
          <w:p>
            <w:pPr>
              <w:pStyle w:val="TableContents"/>
              <w:bidi w:val="0"/>
              <w:spacing w:before="0" w:after="283"/>
              <w:jc w:val="left"/>
              <w:rPr/>
            </w:pPr>
            <w:r>
              <w:rPr/>
              <w:t>Vested restricted shares as of September 30, 2025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897" w:name="xdx_988_ecustom--ShareBasedCompensationA"/>
            <w:bookmarkEnd w:id="897"/>
          </w:p>
        </w:tc>
        <w:tc>
          <w:tcPr>
            <w:tcW w:w="800" w:type="dxa"/>
            <w:tcBorders/>
            <w:shd w:fill="FFFFFF" w:val="clear"/>
            <w:vAlign w:val="center"/>
          </w:tcPr>
          <w:p>
            <w:pPr>
              <w:pStyle w:val="TableContents"/>
              <w:bidi w:val="0"/>
              <w:spacing w:before="0" w:after="283"/>
              <w:jc w:val="right"/>
              <w:rPr/>
            </w:pPr>
            <w:r>
              <w:rPr/>
              <w:t>678,679</w:t>
            </w:r>
          </w:p>
        </w:tc>
        <w:tc>
          <w:tcPr>
            <w:tcW w:w="75" w:type="dxa"/>
            <w:tcBorders/>
            <w:shd w:fill="FFFFFF" w:val="clear"/>
            <w:vAlign w:val="center"/>
          </w:tcPr>
          <w:p>
            <w:pPr>
              <w:pStyle w:val="TableContents"/>
              <w:bidi w:val="0"/>
              <w:spacing w:before="0" w:after="283"/>
              <w:jc w:val="left"/>
              <w:rPr/>
            </w:pPr>
            <w:r>
              <w:rPr/>
              <w:t> </w:t>
            </w:r>
          </w:p>
        </w:tc>
      </w:tr>
      <w:tr>
        <w:trPr/>
        <w:tc>
          <w:tcPr>
            <w:tcW w:w="5495" w:type="dxa"/>
            <w:tcBorders/>
            <w:shd w:fill="CCEEFF" w:val="clear"/>
            <w:vAlign w:val="center"/>
          </w:tcPr>
          <w:p>
            <w:pPr>
              <w:pStyle w:val="TableContents"/>
              <w:bidi w:val="0"/>
              <w:spacing w:before="0" w:after="283"/>
              <w:jc w:val="left"/>
              <w:rPr/>
            </w:pPr>
            <w:r>
              <w:rPr/>
              <w:t>Unvested restricted shares as of September 30, 2025</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898" w:name="xdx_981_ecustom--ShareBasedCompensationA"/>
            <w:bookmarkEnd w:id="898"/>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5495" w:type="dxa"/>
            <w:tcBorders/>
            <w:shd w:fill="FFFFFF" w:val="clear"/>
            <w:vAlign w:val="center"/>
          </w:tcPr>
          <w:p>
            <w:pPr>
              <w:pStyle w:val="TableContents"/>
              <w:bidi w:val="0"/>
              <w:spacing w:before="0" w:after="283"/>
              <w:jc w:val="left"/>
              <w:rPr/>
            </w:pPr>
            <w:r>
              <w:rPr/>
              <w:t>Total</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899" w:name="xdx_983_ecustom--ShareBasedCompensationA"/>
            <w:bookmarkEnd w:id="899"/>
          </w:p>
        </w:tc>
        <w:tc>
          <w:tcPr>
            <w:tcW w:w="800" w:type="dxa"/>
            <w:tcBorders>
              <w:bottom w:val="double" w:sz="6" w:space="0" w:color="000000"/>
            </w:tcBorders>
            <w:shd w:fill="FFFFFF" w:val="clear"/>
            <w:tcMar>
              <w:bottom w:w="28" w:type="dxa"/>
            </w:tcMar>
            <w:vAlign w:val="center"/>
          </w:tcPr>
          <w:p>
            <w:pPr>
              <w:pStyle w:val="TableContents"/>
              <w:bidi w:val="0"/>
              <w:spacing w:before="0" w:after="283"/>
              <w:jc w:val="right"/>
              <w:rPr/>
            </w:pPr>
            <w:r>
              <w:rPr/>
              <w:t>678,679</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900" w:name="xdx_8AA_zvF8BEKmAlL3"/>
      <w:bookmarkEnd w:id="900"/>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BioSig AI Sciences, Inc.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Warrants (BioSig AI)</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901" w:name="xdx_891_ecustom--ScheduleOfWarrantsOrRig"/>
      <w:bookmarkEnd w:id="901"/>
      <w:r>
        <w:rPr>
          <w:rFonts w:ascii="Times New Roman;Times;Serif" w:hAnsi="Times New Roman;Times;Serif"/>
          <w:b w:val="false"/>
          <w:i w:val="false"/>
          <w:caps w:val="false"/>
          <w:smallCaps w:val="false"/>
          <w:sz w:val="20"/>
        </w:rPr>
        <w:t>The following table summarizes information with respect to outstanding warrants to purchase common stock of BioSig AI at September 30,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bookmarkStart w:id="902" w:name="xdx_8BD_z0ugeCti6dQ9"/>
      <w:bookmarkEnd w:id="902"/>
      <w:r>
        <w:rPr>
          <w:rFonts w:ascii="Times New Roman;Times;Serif" w:hAnsi="Times New Roman;Times;Serif"/>
          <w:b w:val="false"/>
          <w:i w:val="false"/>
          <w:caps w:val="false"/>
          <w:smallCaps w:val="false"/>
          <w:sz w:val="20"/>
        </w:rPr>
        <w:t>SCHEDULE OF INFORMATION RELATED TO WARRANTS</w:t>
      </w:r>
    </w:p>
    <w:tbl>
      <w:tblPr>
        <w:tblW w:w="3885" w:type="dxa"/>
        <w:jc w:val="left"/>
        <w:tblInd w:w="0" w:type="dxa"/>
        <w:tblLayout w:type="fixed"/>
        <w:tblCellMar>
          <w:top w:w="0" w:type="dxa"/>
          <w:left w:w="0" w:type="dxa"/>
          <w:bottom w:w="0" w:type="dxa"/>
          <w:right w:w="0" w:type="dxa"/>
        </w:tblCellMar>
      </w:tblPr>
      <w:tblGrid>
        <w:gridCol w:w="231"/>
        <w:gridCol w:w="659"/>
        <w:gridCol w:w="60"/>
        <w:gridCol w:w="60"/>
        <w:gridCol w:w="89"/>
        <w:gridCol w:w="1191"/>
        <w:gridCol w:w="60"/>
        <w:gridCol w:w="60"/>
        <w:gridCol w:w="1475"/>
      </w:tblGrid>
      <w:tr>
        <w:trPr/>
        <w:tc>
          <w:tcPr>
            <w:tcW w:w="890" w:type="dxa"/>
            <w:gridSpan w:val="2"/>
            <w:tcBorders/>
            <w:vAlign w:val="center"/>
          </w:tcPr>
          <w:p>
            <w:pPr>
              <w:pStyle w:val="TableContents"/>
              <w:bidi w:val="0"/>
              <w:spacing w:before="0" w:after="283"/>
              <w:jc w:val="center"/>
              <w:rPr>
                <w:b/>
              </w:rPr>
            </w:pPr>
            <w:r>
              <w:rPr>
                <w:b/>
              </w:rPr>
              <w:t>Exercise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0" w:type="dxa"/>
            <w:gridSpan w:val="2"/>
            <w:tcBorders/>
            <w:vAlign w:val="center"/>
          </w:tcPr>
          <w:p>
            <w:pPr>
              <w:pStyle w:val="TableContents"/>
              <w:bidi w:val="0"/>
              <w:spacing w:before="0" w:after="283"/>
              <w:jc w:val="center"/>
              <w:rPr>
                <w:b/>
              </w:rPr>
            </w:pPr>
            <w:r>
              <w:rPr>
                <w:b/>
              </w:rPr>
              <w:t>Number</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75" w:type="dxa"/>
            <w:tcBorders/>
            <w:vAlign w:val="center"/>
          </w:tcPr>
          <w:p>
            <w:pPr>
              <w:pStyle w:val="TableContents"/>
              <w:bidi w:val="0"/>
              <w:spacing w:before="0" w:after="283"/>
              <w:jc w:val="center"/>
              <w:rPr>
                <w:b/>
              </w:rPr>
            </w:pPr>
            <w:r>
              <w:rPr>
                <w:b/>
              </w:rPr>
              <w:t>Expiration</w:t>
            </w:r>
          </w:p>
        </w:tc>
      </w:tr>
      <w:tr>
        <w:trPr/>
        <w:tc>
          <w:tcPr>
            <w:tcW w:w="89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Price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Outstanding</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75" w:type="dxa"/>
            <w:tcBorders>
              <w:bottom w:val="single" w:sz="8" w:space="0" w:color="000000"/>
            </w:tcBorders>
            <w:tcMar>
              <w:bottom w:w="28" w:type="dxa"/>
            </w:tcMar>
            <w:vAlign w:val="center"/>
          </w:tcPr>
          <w:p>
            <w:pPr>
              <w:pStyle w:val="TableContents"/>
              <w:bidi w:val="0"/>
              <w:spacing w:before="0" w:after="283"/>
              <w:jc w:val="center"/>
              <w:rPr>
                <w:b/>
              </w:rPr>
            </w:pPr>
            <w:r>
              <w:rPr>
                <w:b/>
              </w:rPr>
              <w:t>Date</w:t>
            </w:r>
          </w:p>
        </w:tc>
      </w:tr>
      <w:tr>
        <w:trPr/>
        <w:tc>
          <w:tcPr>
            <w:tcW w:w="231" w:type="dxa"/>
            <w:tcBorders/>
            <w:shd w:fill="CCEEFF" w:val="clear"/>
            <w:vAlign w:val="center"/>
          </w:tcPr>
          <w:p>
            <w:pPr>
              <w:pStyle w:val="TableContents"/>
              <w:bidi w:val="0"/>
              <w:spacing w:before="0" w:after="283"/>
              <w:jc w:val="left"/>
              <w:rPr/>
            </w:pPr>
            <w:r>
              <w:rPr/>
              <w:t>$</w:t>
            </w:r>
            <w:bookmarkStart w:id="903" w:name="xdx_98F_eus-gaap--ClassOfWarrantOrRightE"/>
            <w:bookmarkEnd w:id="903"/>
          </w:p>
        </w:tc>
        <w:tc>
          <w:tcPr>
            <w:tcW w:w="659" w:type="dxa"/>
            <w:tcBorders/>
            <w:shd w:fill="CCEEFF" w:val="clear"/>
            <w:vAlign w:val="center"/>
          </w:tcPr>
          <w:p>
            <w:pPr>
              <w:pStyle w:val="TableContents"/>
              <w:bidi w:val="0"/>
              <w:spacing w:before="0" w:after="283"/>
              <w:jc w:val="right"/>
              <w:rPr/>
            </w:pPr>
            <w:r>
              <w:rPr/>
              <w:t>1.00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bookmarkStart w:id="904" w:name="xdx_98D_eus-gaap--ClassOfWarrantOrRightO"/>
            <w:bookmarkEnd w:id="904"/>
          </w:p>
        </w:tc>
        <w:tc>
          <w:tcPr>
            <w:tcW w:w="1191" w:type="dxa"/>
            <w:tcBorders/>
            <w:shd w:fill="CCEEFF" w:val="clear"/>
            <w:vAlign w:val="center"/>
          </w:tcPr>
          <w:p>
            <w:pPr>
              <w:pStyle w:val="TableContents"/>
              <w:bidi w:val="0"/>
              <w:spacing w:before="0" w:after="283"/>
              <w:jc w:val="right"/>
              <w:rPr/>
            </w:pPr>
            <w:r>
              <w:rPr/>
              <w:t>130,500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905" w:name="xdx_988_ecustom--WarrantsExpirationDateD"/>
            <w:bookmarkEnd w:id="905"/>
          </w:p>
        </w:tc>
        <w:tc>
          <w:tcPr>
            <w:tcW w:w="1475" w:type="dxa"/>
            <w:tcBorders/>
            <w:shd w:fill="CCEEFF" w:val="clear"/>
            <w:vAlign w:val="center"/>
          </w:tcPr>
          <w:p>
            <w:pPr>
              <w:pStyle w:val="TableContents"/>
              <w:bidi w:val="0"/>
              <w:spacing w:before="0" w:after="283"/>
              <w:jc w:val="right"/>
              <w:rPr/>
            </w:pPr>
            <w:r>
              <w:rPr/>
              <w:t>June-July 2028</w:t>
            </w:r>
          </w:p>
        </w:tc>
      </w:tr>
    </w:tbl>
    <w:p>
      <w:pPr>
        <w:pStyle w:val="TextBody"/>
        <w:bidi w:val="0"/>
        <w:spacing w:before="0" w:after="0"/>
        <w:ind w:left="0" w:right="0" w:hanging="0"/>
        <w:jc w:val="both"/>
        <w:rPr>
          <w:caps w:val="false"/>
          <w:smallCaps w:val="false"/>
        </w:rPr>
      </w:pPr>
      <w:bookmarkStart w:id="906" w:name="xdx_8A1_zW6xZnmk2umc"/>
      <w:bookmarkEnd w:id="906"/>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907" w:name="xdx_80D_eus-gaap--MinorityInterestDisclo"/>
      <w:bookmarkEnd w:id="907"/>
      <w:r>
        <w:rPr>
          <w:rFonts w:ascii="Times New Roman;Times;Serif" w:hAnsi="Times New Roman;Times;Serif"/>
          <w:b/>
          <w:i w:val="false"/>
          <w:caps w:val="false"/>
          <w:smallCaps w:val="false"/>
          <w:sz w:val="20"/>
        </w:rPr>
        <w:t xml:space="preserve">NOTE 11 – </w:t>
      </w:r>
      <w:bookmarkStart w:id="908" w:name="xdx_82C_zEYDhPAwjMk2"/>
      <w:bookmarkEnd w:id="908"/>
      <w:r>
        <w:rPr>
          <w:rFonts w:ascii="Times New Roman;Times;Serif" w:hAnsi="Times New Roman;Times;Serif"/>
          <w:b/>
          <w:i w:val="false"/>
          <w:caps w:val="false"/>
          <w:smallCaps w:val="false"/>
          <w:sz w:val="20"/>
        </w:rPr>
        <w:t>NON-CONTROLLING INTEREST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September 30, 2025 and December 31, 2024, the Company had a majority interest in ViralClear of </w:t>
      </w:r>
      <w:bookmarkStart w:id="909" w:name="xdx_90E_eus-gaap--EquityMethodInvestment"/>
      <w:bookmarkEnd w:id="909"/>
      <w:r>
        <w:rPr>
          <w:rFonts w:ascii="Times New Roman;Times;Serif" w:hAnsi="Times New Roman;Times;Serif"/>
          <w:b w:val="false"/>
          <w:i w:val="false"/>
          <w:caps w:val="false"/>
          <w:smallCaps w:val="false"/>
          <w:sz w:val="20"/>
        </w:rPr>
        <w:t xml:space="preserve">69.74% and </w:t>
      </w:r>
      <w:bookmarkStart w:id="910" w:name="xdx_90A_eus-gaap--EquityMethodInvestment"/>
      <w:bookmarkEnd w:id="910"/>
      <w:r>
        <w:rPr>
          <w:rFonts w:ascii="Times New Roman;Times;Serif" w:hAnsi="Times New Roman;Times;Serif"/>
          <w:b w:val="false"/>
          <w:i w:val="false"/>
          <w:caps w:val="false"/>
          <w:smallCaps w:val="false"/>
          <w:sz w:val="20"/>
        </w:rPr>
        <w:t xml:space="preserve">69.08%, respectively. As of September 30, 2025 and December 31, 2024, the Company had a majority interest in of BioSig AI of </w:t>
      </w:r>
      <w:bookmarkStart w:id="911" w:name="xdx_90B_eus-gaap--EquityMethodInvestment"/>
      <w:bookmarkStart w:id="912" w:name="xdx_90C_eus-gaap--EquityMethodInvestment"/>
      <w:bookmarkEnd w:id="911"/>
      <w:bookmarkEnd w:id="912"/>
      <w:r>
        <w:rPr>
          <w:rFonts w:ascii="Times New Roman;Times;Serif" w:hAnsi="Times New Roman;Times;Serif"/>
          <w:b w:val="false"/>
          <w:i w:val="false"/>
          <w:caps w:val="false"/>
          <w:smallCaps w:val="false"/>
          <w:sz w:val="20"/>
        </w:rPr>
        <w:t>84.5% for both periods.</w:t>
      </w:r>
    </w:p>
    <w:p>
      <w:pPr>
        <w:pStyle w:val="TextBody"/>
        <w:bidi w:val="0"/>
        <w:spacing w:before="0" w:after="0"/>
        <w:ind w:left="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20</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STREAMEX CORP.</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THE CONDENSED CONSOLIDATED FINANCIAL STATEMENTS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SEPTEMBER 30, 2025 </w:t>
      </w:r>
      <w:r>
        <w:rPr>
          <w:rFonts w:ascii="Times New Roman;Times;Serif" w:hAnsi="Times New Roman;Times;Serif"/>
          <w:b/>
          <w:i/>
          <w:caps w:val="false"/>
          <w:smallCaps w:val="false"/>
          <w:sz w:val="20"/>
        </w:rPr>
        <w:t>(</w:t>
      </w:r>
      <w:r>
        <w:rPr>
          <w:rFonts w:ascii="Times New Roman;Times;Serif" w:hAnsi="Times New Roman;Times;Serif"/>
          <w:b/>
          <w:i w:val="false"/>
          <w:caps w:val="false"/>
          <w:smallCaps w:val="false"/>
          <w:sz w:val="20"/>
        </w:rPr>
        <w:t>Unaudited</w:t>
      </w:r>
      <w:r>
        <w:rPr>
          <w:rFonts w:ascii="Times New Roman;Times;Serif" w:hAnsi="Times New Roman;Times;Serif"/>
          <w:b/>
          <w:i/>
          <w:caps w:val="false"/>
          <w:smallCaps w:val="false"/>
          <w:sz w:val="20"/>
        </w:rPr>
        <w: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reconciliation of ViralClear Pharmaceuticals, Inc. and BioSig AI Sciences, Inc. non-controlling loss attributable to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913" w:name="xdx_893_ecustom--ScheduleOfNonControllin"/>
      <w:bookmarkEnd w:id="913"/>
      <w:r>
        <w:rPr>
          <w:rFonts w:ascii="Times New Roman;Times;Serif" w:hAnsi="Times New Roman;Times;Serif"/>
          <w:b w:val="false"/>
          <w:i w:val="false"/>
          <w:caps w:val="false"/>
          <w:smallCaps w:val="false"/>
          <w:sz w:val="20"/>
        </w:rPr>
        <w:t>Net loss attributable to the non-controlling interest for the three months ended September 30, 2025 (000’s):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bookmarkStart w:id="914" w:name="xdx_8B5_zzdL7aPMPJHl"/>
      <w:bookmarkEnd w:id="914"/>
      <w:r>
        <w:rPr>
          <w:rFonts w:ascii="Times New Roman;Times;Serif" w:hAnsi="Times New Roman;Times;Serif"/>
          <w:b w:val="false"/>
          <w:i w:val="false"/>
          <w:caps w:val="false"/>
          <w:smallCaps w:val="false"/>
          <w:sz w:val="20"/>
        </w:rPr>
        <w:t>SCHEDULE OF NON-CONTROLLING INTEREST</w:t>
      </w:r>
    </w:p>
    <w:tbl>
      <w:tblPr>
        <w:tblW w:w="9428" w:type="dxa"/>
        <w:jc w:val="left"/>
        <w:tblInd w:w="0" w:type="dxa"/>
        <w:tblLayout w:type="fixed"/>
        <w:tblCellMar>
          <w:top w:w="0" w:type="dxa"/>
          <w:left w:w="0" w:type="dxa"/>
          <w:bottom w:w="0" w:type="dxa"/>
          <w:right w:w="0" w:type="dxa"/>
        </w:tblCellMar>
      </w:tblPr>
      <w:tblGrid>
        <w:gridCol w:w="4430"/>
        <w:gridCol w:w="60"/>
        <w:gridCol w:w="197"/>
        <w:gridCol w:w="1652"/>
        <w:gridCol w:w="185"/>
        <w:gridCol w:w="60"/>
        <w:gridCol w:w="396"/>
        <w:gridCol w:w="733"/>
        <w:gridCol w:w="185"/>
        <w:gridCol w:w="60"/>
        <w:gridCol w:w="125"/>
        <w:gridCol w:w="1145"/>
        <w:gridCol w:w="200"/>
      </w:tblGrid>
      <w:tr>
        <w:trPr/>
        <w:tc>
          <w:tcPr>
            <w:tcW w:w="443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bookmarkStart w:id="915" w:name="xdx_493_20250701__20250930__srt--Consoli"/>
            <w:bookmarkEnd w:id="915"/>
          </w:p>
        </w:tc>
        <w:tc>
          <w:tcPr>
            <w:tcW w:w="1849"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ViralClear</w:t>
            </w:r>
          </w:p>
        </w:tc>
        <w:tc>
          <w:tcPr>
            <w:tcW w:w="18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bookmarkStart w:id="916" w:name="xdx_49D_20250701__20250930__srt--Consoli"/>
            <w:bookmarkEnd w:id="916"/>
          </w:p>
        </w:tc>
        <w:tc>
          <w:tcPr>
            <w:tcW w:w="1129"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BioSig AI</w:t>
            </w:r>
          </w:p>
        </w:tc>
        <w:tc>
          <w:tcPr>
            <w:tcW w:w="18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bookmarkStart w:id="917" w:name="xdx_49F_20250701__20250930_zsg911Y0fqLk"/>
            <w:bookmarkEnd w:id="917"/>
          </w:p>
        </w:tc>
        <w:tc>
          <w:tcPr>
            <w:tcW w:w="1270" w:type="dxa"/>
            <w:gridSpan w:val="2"/>
            <w:tcBorders/>
            <w:vAlign w:val="center"/>
          </w:tcPr>
          <w:p>
            <w:pPr>
              <w:pStyle w:val="TableContents"/>
              <w:bidi w:val="0"/>
              <w:spacing w:before="0" w:after="283"/>
              <w:jc w:val="center"/>
              <w:rPr>
                <w:caps w:val="false"/>
                <w:smallCaps w:val="false"/>
              </w:rPr>
            </w:pPr>
            <w:r>
              <w:rPr>
                <w:caps w:val="false"/>
                <w:smallCaps w:val="false"/>
              </w:rPr>
              <w:t> </w:t>
            </w:r>
          </w:p>
        </w:tc>
        <w:tc>
          <w:tcPr>
            <w:tcW w:w="200"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443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849"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Pharmaceuticals, Inc.</w:t>
            </w:r>
          </w:p>
        </w:tc>
        <w:tc>
          <w:tcPr>
            <w:tcW w:w="18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29"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Sciences, Inc.</w:t>
            </w:r>
          </w:p>
        </w:tc>
        <w:tc>
          <w:tcPr>
            <w:tcW w:w="18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27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w:t>
            </w:r>
          </w:p>
        </w:tc>
        <w:tc>
          <w:tcPr>
            <w:tcW w:w="200"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443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84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(000’s)</w:t>
            </w:r>
          </w:p>
        </w:tc>
        <w:tc>
          <w:tcPr>
            <w:tcW w:w="18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2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(000’s)</w:t>
            </w:r>
          </w:p>
        </w:tc>
        <w:tc>
          <w:tcPr>
            <w:tcW w:w="18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27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(000’s)</w:t>
            </w:r>
          </w:p>
        </w:tc>
        <w:tc>
          <w:tcPr>
            <w:tcW w:w="200" w:type="dxa"/>
            <w:tcBorders/>
            <w:vAlign w:val="center"/>
          </w:tcPr>
          <w:p>
            <w:pPr>
              <w:pStyle w:val="TableContents"/>
              <w:bidi w:val="0"/>
              <w:spacing w:before="0" w:after="283"/>
              <w:jc w:val="center"/>
              <w:rPr>
                <w:caps w:val="false"/>
                <w:smallCaps w:val="false"/>
              </w:rPr>
            </w:pPr>
            <w:r>
              <w:rPr>
                <w:caps w:val="false"/>
                <w:smallCaps w:val="false"/>
              </w:rPr>
              <w:t> </w:t>
            </w:r>
            <w:bookmarkStart w:id="918" w:name="xdx_403_ecustom--NetIncomeLossOfNonContr"/>
            <w:bookmarkEnd w:id="918"/>
          </w:p>
        </w:tc>
      </w:tr>
      <w:tr>
        <w:trPr/>
        <w:tc>
          <w:tcPr>
            <w:tcW w:w="44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income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652" w:type="dxa"/>
            <w:tcBorders/>
            <w:shd w:fill="CCEEFF" w:val="clear"/>
            <w:vAlign w:val="center"/>
          </w:tcPr>
          <w:p>
            <w:pPr>
              <w:pStyle w:val="TableContents"/>
              <w:bidi w:val="0"/>
              <w:spacing w:before="0" w:after="283"/>
              <w:jc w:val="right"/>
              <w:rPr>
                <w:caps w:val="false"/>
                <w:smallCaps w:val="false"/>
              </w:rPr>
            </w:pPr>
            <w:r>
              <w:rPr>
                <w:caps w:val="false"/>
                <w:smallCaps w:val="false"/>
              </w:rPr>
              <w:t>                </w:t>
            </w:r>
            <w:r>
              <w:rPr>
                <w:rFonts w:ascii="Times New Roman;Times;Serif" w:hAnsi="Times New Roman;Times;Serif"/>
                <w:b w:val="false"/>
                <w:i w:val="false"/>
                <w:caps w:val="false"/>
                <w:smallCaps w:val="false"/>
                <w:sz w:val="20"/>
              </w:rPr>
              <w:t>-</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9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3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1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45" w:type="dxa"/>
            <w:tcBorders/>
            <w:shd w:fill="CCEEFF" w:val="clear"/>
            <w:vAlign w:val="center"/>
          </w:tcPr>
          <w:p>
            <w:pPr>
              <w:pStyle w:val="TableContents"/>
              <w:bidi w:val="0"/>
              <w:spacing w:before="0" w:after="283"/>
              <w:jc w:val="right"/>
              <w:rPr>
                <w:caps w:val="false"/>
                <w:smallCaps w:val="false"/>
              </w:rPr>
            </w:pPr>
            <w:r>
              <w:rPr>
                <w:caps w:val="false"/>
                <w:smallCaps w:val="false"/>
              </w:rPr>
              <w:t>                </w:t>
            </w:r>
            <w:r>
              <w:rPr>
                <w:rFonts w:ascii="Times New Roman;Times;Serif" w:hAnsi="Times New Roman;Times;Serif"/>
                <w:b w:val="false"/>
                <w:i w:val="false"/>
                <w:caps w:val="false"/>
                <w:smallCaps w:val="false"/>
                <w:sz w:val="20"/>
              </w:rPr>
              <w:t>(3</w:t>
            </w:r>
          </w:p>
        </w:tc>
        <w:tc>
          <w:tcPr>
            <w:tcW w:w="2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919" w:name="xdx_408_ecustom--AverageNoncontrollingIn"/>
            <w:bookmarkEnd w:id="919"/>
          </w:p>
        </w:tc>
      </w:tr>
      <w:tr>
        <w:trPr/>
        <w:tc>
          <w:tcPr>
            <w:tcW w:w="44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Average Non-Controlling interest percentage of losses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7"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65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w:t>
            </w:r>
          </w:p>
        </w:tc>
        <w:tc>
          <w:tcPr>
            <w:tcW w:w="1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96"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33"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w:t>
            </w:r>
          </w:p>
        </w:tc>
        <w:tc>
          <w:tcPr>
            <w:tcW w:w="1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4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w:t>
            </w:r>
          </w:p>
        </w:tc>
        <w:tc>
          <w:tcPr>
            <w:tcW w:w="2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4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income attributable to non-controlling interest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7"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65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bookmarkStart w:id="920" w:name="xdx_906_eus-gaap--NetIncomeLossAttributa"/>
            <w:bookmarkEnd w:id="920"/>
            <w:r>
              <w:rPr>
                <w:rFonts w:ascii="Times New Roman;Times;Serif" w:hAnsi="Times New Roman;Times;Serif"/>
                <w:b w:val="false"/>
                <w:i w:val="false"/>
                <w:caps w:val="false"/>
                <w:smallCaps w:val="false"/>
                <w:sz w:val="20"/>
              </w:rPr>
              <w:t>-</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96"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33"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bookmarkStart w:id="921" w:name="xdx_901_eus-gaap--NetIncomeLossAttributa"/>
            <w:bookmarkEnd w:id="921"/>
            <w:r>
              <w:rPr>
                <w:rFonts w:ascii="Times New Roman;Times;Serif" w:hAnsi="Times New Roman;Times;Serif"/>
                <w:b w:val="false"/>
                <w:i w:val="false"/>
                <w:caps w:val="false"/>
                <w:smallCaps w:val="false"/>
                <w:sz w:val="16"/>
              </w:rPr>
              <w:t>-</w:t>
            </w:r>
            <w:r>
              <w:rPr>
                <w:rFonts w:ascii="Times New Roman;Times;Serif" w:hAnsi="Times New Roman;Times;Serif"/>
                <w:b w:val="false"/>
                <w:i w:val="false"/>
                <w:caps w:val="false"/>
                <w:smallCaps w:val="false"/>
                <w:sz w:val="20"/>
              </w:rPr>
              <w:t>*</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4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bookmarkStart w:id="922" w:name="xdx_907_eus-gaap--NetIncomeLossAttributa"/>
            <w:bookmarkEnd w:id="922"/>
            <w:r>
              <w:rPr>
                <w:rFonts w:ascii="Times New Roman;Times;Serif" w:hAnsi="Times New Roman;Times;Serif"/>
                <w:b w:val="false"/>
                <w:i w:val="false"/>
                <w:caps w:val="false"/>
                <w:smallCaps w:val="false"/>
                <w:sz w:val="16"/>
              </w:rPr>
              <w:t>-</w:t>
            </w:r>
            <w:r>
              <w:rPr>
                <w:rFonts w:ascii="Times New Roman;Times;Serif" w:hAnsi="Times New Roman;Times;Serif"/>
                <w:b w:val="false"/>
                <w:i w:val="false"/>
                <w:caps w:val="false"/>
                <w:smallCaps w:val="false"/>
                <w:sz w:val="20"/>
              </w:rPr>
              <w:t>*</w:t>
            </w:r>
          </w:p>
        </w:tc>
        <w:tc>
          <w:tcPr>
            <w:tcW w:w="2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both"/>
        <w:rPr>
          <w:caps w:val="false"/>
          <w:smallCaps w:val="false"/>
        </w:rPr>
      </w:pPr>
      <w:r>
        <w:rPr>
          <w:caps w:val="false"/>
          <w:smallCaps w:val="false"/>
        </w:rPr>
        <w:t> </w:t>
      </w:r>
    </w:p>
    <w:tbl>
      <w:tblPr>
        <w:tblW w:w="2140" w:type="dxa"/>
        <w:jc w:val="left"/>
        <w:tblInd w:w="0" w:type="dxa"/>
        <w:tblLayout w:type="fixed"/>
        <w:tblCellMar>
          <w:top w:w="0" w:type="dxa"/>
          <w:left w:w="0" w:type="dxa"/>
          <w:bottom w:w="0" w:type="dxa"/>
          <w:right w:w="0" w:type="dxa"/>
        </w:tblCellMar>
      </w:tblPr>
      <w:tblGrid>
        <w:gridCol w:w="140"/>
        <w:gridCol w:w="2000"/>
      </w:tblGrid>
      <w:tr>
        <w:trPr/>
        <w:tc>
          <w:tcPr>
            <w:tcW w:w="1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bookmarkStart w:id="923" w:name="xdx_F00_zXTK0D0Kp40e"/>
            <w:bookmarkEnd w:id="923"/>
            <w:r>
              <w:rPr>
                <w:rFonts w:ascii="Times New Roman;Times;Serif" w:hAnsi="Times New Roman;Times;Serif"/>
                <w:b w:val="false"/>
                <w:i w:val="false"/>
                <w:caps w:val="false"/>
                <w:smallCaps w:val="false"/>
                <w:sz w:val="20"/>
              </w:rPr>
              <w:t>*</w:t>
            </w:r>
          </w:p>
        </w:tc>
        <w:tc>
          <w:tcPr>
            <w:tcW w:w="20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bookmarkStart w:id="924" w:name="xdx_F1B_zIvyYe0l8HHd"/>
            <w:bookmarkEnd w:id="924"/>
            <w:r>
              <w:rPr>
                <w:rFonts w:ascii="Times New Roman;Times;Serif" w:hAnsi="Times New Roman;Times;Serif"/>
                <w:b w:val="false"/>
                <w:i w:val="false"/>
                <w:caps w:val="false"/>
                <w:smallCaps w:val="false"/>
                <w:sz w:val="20"/>
              </w:rPr>
              <w:t>Less than $0.5 thousand</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loss attributable to the non-controlling interest for the three months ended September 30, 2024 (000’s):</w:t>
      </w:r>
    </w:p>
    <w:p>
      <w:pPr>
        <w:pStyle w:val="TextBody"/>
        <w:bidi w:val="0"/>
        <w:spacing w:before="0" w:after="0"/>
        <w:ind w:left="0" w:right="0" w:hanging="0"/>
        <w:jc w:val="both"/>
        <w:rPr>
          <w:caps w:val="false"/>
          <w:smallCaps w:val="false"/>
        </w:rPr>
      </w:pPr>
      <w:r>
        <w:rPr>
          <w:caps w:val="false"/>
          <w:smallCaps w:val="false"/>
        </w:rPr>
        <w:t> </w:t>
      </w:r>
    </w:p>
    <w:tbl>
      <w:tblPr>
        <w:tblW w:w="9869" w:type="dxa"/>
        <w:jc w:val="left"/>
        <w:tblInd w:w="0" w:type="dxa"/>
        <w:tblLayout w:type="fixed"/>
        <w:tblCellMar>
          <w:top w:w="0" w:type="dxa"/>
          <w:left w:w="0" w:type="dxa"/>
          <w:bottom w:w="0" w:type="dxa"/>
          <w:right w:w="0" w:type="dxa"/>
        </w:tblCellMar>
      </w:tblPr>
      <w:tblGrid>
        <w:gridCol w:w="4940"/>
        <w:gridCol w:w="60"/>
        <w:gridCol w:w="197"/>
        <w:gridCol w:w="1652"/>
        <w:gridCol w:w="185"/>
        <w:gridCol w:w="60"/>
        <w:gridCol w:w="125"/>
        <w:gridCol w:w="1040"/>
        <w:gridCol w:w="185"/>
        <w:gridCol w:w="60"/>
        <w:gridCol w:w="125"/>
        <w:gridCol w:w="1040"/>
        <w:gridCol w:w="200"/>
      </w:tblGrid>
      <w:tr>
        <w:trPr/>
        <w:tc>
          <w:tcPr>
            <w:tcW w:w="494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bookmarkStart w:id="925" w:name="xdx_49D_20240701__20240930__srt--Consoli"/>
            <w:bookmarkEnd w:id="925"/>
          </w:p>
        </w:tc>
        <w:tc>
          <w:tcPr>
            <w:tcW w:w="1849"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ViralClear</w:t>
            </w:r>
          </w:p>
        </w:tc>
        <w:tc>
          <w:tcPr>
            <w:tcW w:w="18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bookmarkStart w:id="926" w:name="xdx_490_20240701__20240930__srt--Consoli"/>
            <w:bookmarkEnd w:id="926"/>
          </w:p>
        </w:tc>
        <w:tc>
          <w:tcPr>
            <w:tcW w:w="116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BioSig AI</w:t>
            </w:r>
          </w:p>
        </w:tc>
        <w:tc>
          <w:tcPr>
            <w:tcW w:w="18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bookmarkStart w:id="927" w:name="xdx_49C_20240701__20240930_z69iwIw5i478"/>
            <w:bookmarkEnd w:id="927"/>
          </w:p>
        </w:tc>
        <w:tc>
          <w:tcPr>
            <w:tcW w:w="1165" w:type="dxa"/>
            <w:gridSpan w:val="2"/>
            <w:tcBorders/>
            <w:vAlign w:val="center"/>
          </w:tcPr>
          <w:p>
            <w:pPr>
              <w:pStyle w:val="TableContents"/>
              <w:bidi w:val="0"/>
              <w:spacing w:before="0" w:after="283"/>
              <w:jc w:val="center"/>
              <w:rPr>
                <w:caps w:val="false"/>
                <w:smallCaps w:val="false"/>
              </w:rPr>
            </w:pPr>
            <w:r>
              <w:rPr>
                <w:caps w:val="false"/>
                <w:smallCaps w:val="false"/>
              </w:rPr>
              <w:t> </w:t>
            </w:r>
          </w:p>
        </w:tc>
        <w:tc>
          <w:tcPr>
            <w:tcW w:w="200"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494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849"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Pharmaceuticals, Inc.</w:t>
            </w:r>
          </w:p>
        </w:tc>
        <w:tc>
          <w:tcPr>
            <w:tcW w:w="18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6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Sciences, Inc.</w:t>
            </w:r>
          </w:p>
        </w:tc>
        <w:tc>
          <w:tcPr>
            <w:tcW w:w="18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6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w:t>
            </w:r>
          </w:p>
        </w:tc>
        <w:tc>
          <w:tcPr>
            <w:tcW w:w="200"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494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84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(000’s)</w:t>
            </w:r>
          </w:p>
        </w:tc>
        <w:tc>
          <w:tcPr>
            <w:tcW w:w="18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6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(000’s)</w:t>
            </w:r>
          </w:p>
        </w:tc>
        <w:tc>
          <w:tcPr>
            <w:tcW w:w="18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6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(000’s)</w:t>
            </w:r>
          </w:p>
        </w:tc>
        <w:tc>
          <w:tcPr>
            <w:tcW w:w="200" w:type="dxa"/>
            <w:tcBorders/>
            <w:vAlign w:val="center"/>
          </w:tcPr>
          <w:p>
            <w:pPr>
              <w:pStyle w:val="TableContents"/>
              <w:bidi w:val="0"/>
              <w:spacing w:before="0" w:after="283"/>
              <w:jc w:val="center"/>
              <w:rPr>
                <w:caps w:val="false"/>
                <w:smallCaps w:val="false"/>
              </w:rPr>
            </w:pPr>
            <w:r>
              <w:rPr>
                <w:caps w:val="false"/>
                <w:smallCaps w:val="false"/>
              </w:rPr>
              <w:t> </w:t>
            </w:r>
            <w:bookmarkStart w:id="928" w:name="xdx_403_ecustom--NetIncomeLossOfNonContr"/>
            <w:bookmarkEnd w:id="928"/>
          </w:p>
        </w:tc>
      </w:tr>
      <w:tr>
        <w:trPr/>
        <w:tc>
          <w:tcPr>
            <w:tcW w:w="494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income (loss)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652" w:type="dxa"/>
            <w:tcBorders/>
            <w:shd w:fill="CCEEFF" w:val="clear"/>
            <w:vAlign w:val="center"/>
          </w:tcPr>
          <w:p>
            <w:pPr>
              <w:pStyle w:val="TableContents"/>
              <w:bidi w:val="0"/>
              <w:spacing w:before="0" w:after="283"/>
              <w:jc w:val="right"/>
              <w:rPr>
                <w:caps w:val="false"/>
                <w:smallCaps w:val="false"/>
              </w:rPr>
            </w:pPr>
            <w:r>
              <w:rPr>
                <w:caps w:val="false"/>
                <w:smallCaps w:val="false"/>
              </w:rPr>
              <w:t>                </w:t>
            </w:r>
            <w:r>
              <w:rPr>
                <w:rFonts w:ascii="Times New Roman;Times;Serif" w:hAnsi="Times New Roman;Times;Serif"/>
                <w:b w:val="false"/>
                <w:i w:val="false"/>
                <w:caps w:val="false"/>
                <w:smallCaps w:val="false"/>
                <w:sz w:val="20"/>
              </w:rPr>
              <w:t>-</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40" w:type="dxa"/>
            <w:tcBorders/>
            <w:shd w:fill="CCEEFF" w:val="clear"/>
            <w:vAlign w:val="center"/>
          </w:tcPr>
          <w:p>
            <w:pPr>
              <w:pStyle w:val="TableContents"/>
              <w:bidi w:val="0"/>
              <w:spacing w:before="0" w:after="283"/>
              <w:jc w:val="right"/>
              <w:rPr>
                <w:caps w:val="false"/>
                <w:smallCaps w:val="false"/>
              </w:rPr>
            </w:pPr>
            <w:r>
              <w:rPr>
                <w:caps w:val="false"/>
                <w:smallCaps w:val="false"/>
              </w:rPr>
              <w:t>                </w:t>
            </w:r>
            <w:r>
              <w:rPr>
                <w:rFonts w:ascii="Times New Roman;Times;Serif" w:hAnsi="Times New Roman;Times;Serif"/>
                <w:b w:val="false"/>
                <w:i w:val="false"/>
                <w:caps w:val="false"/>
                <w:smallCaps w:val="false"/>
                <w:sz w:val="20"/>
              </w:rPr>
              <w:t>-</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40" w:type="dxa"/>
            <w:tcBorders/>
            <w:shd w:fill="CCEEFF" w:val="clear"/>
            <w:vAlign w:val="center"/>
          </w:tcPr>
          <w:p>
            <w:pPr>
              <w:pStyle w:val="TableContents"/>
              <w:bidi w:val="0"/>
              <w:spacing w:before="0" w:after="283"/>
              <w:jc w:val="right"/>
              <w:rPr>
                <w:caps w:val="false"/>
                <w:smallCaps w:val="false"/>
              </w:rPr>
            </w:pPr>
            <w:r>
              <w:rPr>
                <w:caps w:val="false"/>
                <w:smallCaps w:val="false"/>
              </w:rPr>
              <w:t>                </w:t>
            </w:r>
            <w:r>
              <w:rPr>
                <w:rFonts w:ascii="Times New Roman;Times;Serif" w:hAnsi="Times New Roman;Times;Serif"/>
                <w:b w:val="false"/>
                <w:i w:val="false"/>
                <w:caps w:val="false"/>
                <w:smallCaps w:val="false"/>
                <w:sz w:val="20"/>
              </w:rPr>
              <w:t>-</w:t>
            </w:r>
          </w:p>
        </w:tc>
        <w:tc>
          <w:tcPr>
            <w:tcW w:w="200"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929" w:name="xdx_408_ecustom--AverageNoncontrollingIn"/>
            <w:bookmarkEnd w:id="929"/>
          </w:p>
        </w:tc>
      </w:tr>
      <w:tr>
        <w:trPr/>
        <w:tc>
          <w:tcPr>
            <w:tcW w:w="494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Average Non-Controlling interest percentage of profit/losses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7"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65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w:t>
            </w:r>
          </w:p>
        </w:tc>
        <w:tc>
          <w:tcPr>
            <w:tcW w:w="1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4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w:t>
            </w:r>
          </w:p>
        </w:tc>
        <w:tc>
          <w:tcPr>
            <w:tcW w:w="1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4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w:t>
            </w:r>
          </w:p>
        </w:tc>
        <w:tc>
          <w:tcPr>
            <w:tcW w:w="2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94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income (loss) attributable to non-controlling interest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7"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65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bookmarkStart w:id="930" w:name="xdx_90C_eus-gaap--NetIncomeLossAttributa"/>
            <w:bookmarkEnd w:id="930"/>
            <w:r>
              <w:rPr>
                <w:rFonts w:ascii="Times New Roman;Times;Serif" w:hAnsi="Times New Roman;Times;Serif"/>
                <w:b w:val="false"/>
                <w:i w:val="false"/>
                <w:caps w:val="false"/>
                <w:smallCaps w:val="false"/>
                <w:sz w:val="20"/>
              </w:rPr>
              <w:t>-</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4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bookmarkStart w:id="931" w:name="xdx_90A_eus-gaap--NetIncomeLossAttributa"/>
            <w:bookmarkEnd w:id="931"/>
            <w:r>
              <w:rPr>
                <w:rFonts w:ascii="Times New Roman;Times;Serif" w:hAnsi="Times New Roman;Times;Serif"/>
                <w:b w:val="false"/>
                <w:i w:val="false"/>
                <w:caps w:val="false"/>
                <w:smallCaps w:val="false"/>
                <w:sz w:val="20"/>
              </w:rPr>
              <w:t>-</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4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bookmarkStart w:id="932" w:name="xdx_908_eus-gaap--NetIncomeLossAttributa"/>
            <w:bookmarkEnd w:id="932"/>
            <w:r>
              <w:rPr>
                <w:rFonts w:ascii="Times New Roman;Times;Serif" w:hAnsi="Times New Roman;Times;Serif"/>
                <w:b w:val="false"/>
                <w:i w:val="false"/>
                <w:caps w:val="false"/>
                <w:smallCaps w:val="false"/>
                <w:sz w:val="20"/>
              </w:rPr>
              <w:t>-</w:t>
            </w:r>
          </w:p>
        </w:tc>
        <w:tc>
          <w:tcPr>
            <w:tcW w:w="2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loss attributable to the non-controlling interest for the nine months ended September 30, 2025 (000’s):</w:t>
      </w:r>
    </w:p>
    <w:p>
      <w:pPr>
        <w:pStyle w:val="TextBody"/>
        <w:bidi w:val="0"/>
        <w:spacing w:before="0" w:after="0"/>
        <w:ind w:left="0" w:right="0" w:hanging="0"/>
        <w:jc w:val="both"/>
        <w:rPr>
          <w:caps w:val="false"/>
          <w:smallCaps w:val="false"/>
        </w:rPr>
      </w:pPr>
      <w:r>
        <w:rPr>
          <w:caps w:val="false"/>
          <w:smallCaps w:val="false"/>
        </w:rPr>
        <w:t> </w:t>
      </w:r>
    </w:p>
    <w:tbl>
      <w:tblPr>
        <w:tblW w:w="9659" w:type="dxa"/>
        <w:jc w:val="left"/>
        <w:tblInd w:w="0" w:type="dxa"/>
        <w:tblLayout w:type="fixed"/>
        <w:tblCellMar>
          <w:top w:w="0" w:type="dxa"/>
          <w:left w:w="0" w:type="dxa"/>
          <w:bottom w:w="0" w:type="dxa"/>
          <w:right w:w="0" w:type="dxa"/>
        </w:tblCellMar>
      </w:tblPr>
      <w:tblGrid>
        <w:gridCol w:w="4430"/>
        <w:gridCol w:w="60"/>
        <w:gridCol w:w="197"/>
        <w:gridCol w:w="1652"/>
        <w:gridCol w:w="185"/>
        <w:gridCol w:w="60"/>
        <w:gridCol w:w="125"/>
        <w:gridCol w:w="1190"/>
        <w:gridCol w:w="185"/>
        <w:gridCol w:w="60"/>
        <w:gridCol w:w="125"/>
        <w:gridCol w:w="1190"/>
        <w:gridCol w:w="200"/>
      </w:tblGrid>
      <w:tr>
        <w:trPr/>
        <w:tc>
          <w:tcPr>
            <w:tcW w:w="443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bookmarkStart w:id="933" w:name="xdx_494_20250101__20250930__srt--Consoli"/>
            <w:bookmarkEnd w:id="933"/>
          </w:p>
        </w:tc>
        <w:tc>
          <w:tcPr>
            <w:tcW w:w="1849"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ViralClear</w:t>
            </w:r>
          </w:p>
        </w:tc>
        <w:tc>
          <w:tcPr>
            <w:tcW w:w="18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bookmarkStart w:id="934" w:name="xdx_496_20250101__20250930__srt--Consoli"/>
            <w:bookmarkEnd w:id="934"/>
          </w:p>
        </w:tc>
        <w:tc>
          <w:tcPr>
            <w:tcW w:w="131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BioSig AI</w:t>
            </w:r>
          </w:p>
        </w:tc>
        <w:tc>
          <w:tcPr>
            <w:tcW w:w="18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bookmarkStart w:id="935" w:name="xdx_493_20250101__20250930_zZWojVMTi757"/>
            <w:bookmarkEnd w:id="935"/>
          </w:p>
        </w:tc>
        <w:tc>
          <w:tcPr>
            <w:tcW w:w="1315" w:type="dxa"/>
            <w:gridSpan w:val="2"/>
            <w:tcBorders/>
            <w:vAlign w:val="center"/>
          </w:tcPr>
          <w:p>
            <w:pPr>
              <w:pStyle w:val="TableContents"/>
              <w:bidi w:val="0"/>
              <w:spacing w:before="0" w:after="283"/>
              <w:jc w:val="center"/>
              <w:rPr>
                <w:caps w:val="false"/>
                <w:smallCaps w:val="false"/>
              </w:rPr>
            </w:pPr>
            <w:r>
              <w:rPr>
                <w:caps w:val="false"/>
                <w:smallCaps w:val="false"/>
              </w:rPr>
              <w:t> </w:t>
            </w:r>
          </w:p>
        </w:tc>
        <w:tc>
          <w:tcPr>
            <w:tcW w:w="200"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443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849"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Pharmaceuticals, Inc.</w:t>
            </w:r>
          </w:p>
        </w:tc>
        <w:tc>
          <w:tcPr>
            <w:tcW w:w="18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31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Sciences, Inc.</w:t>
            </w:r>
          </w:p>
        </w:tc>
        <w:tc>
          <w:tcPr>
            <w:tcW w:w="18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31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w:t>
            </w:r>
          </w:p>
        </w:tc>
        <w:tc>
          <w:tcPr>
            <w:tcW w:w="200"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443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84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(000’s)</w:t>
            </w:r>
          </w:p>
        </w:tc>
        <w:tc>
          <w:tcPr>
            <w:tcW w:w="18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31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(000’s)</w:t>
            </w:r>
          </w:p>
        </w:tc>
        <w:tc>
          <w:tcPr>
            <w:tcW w:w="18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31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(000’s)</w:t>
            </w:r>
          </w:p>
        </w:tc>
        <w:tc>
          <w:tcPr>
            <w:tcW w:w="200" w:type="dxa"/>
            <w:tcBorders/>
            <w:vAlign w:val="center"/>
          </w:tcPr>
          <w:p>
            <w:pPr>
              <w:pStyle w:val="TableContents"/>
              <w:bidi w:val="0"/>
              <w:spacing w:before="0" w:after="283"/>
              <w:jc w:val="center"/>
              <w:rPr>
                <w:caps w:val="false"/>
                <w:smallCaps w:val="false"/>
              </w:rPr>
            </w:pPr>
            <w:r>
              <w:rPr>
                <w:caps w:val="false"/>
                <w:smallCaps w:val="false"/>
              </w:rPr>
              <w:t> </w:t>
            </w:r>
            <w:bookmarkStart w:id="936" w:name="xdx_403_ecustom--NetIncomeLossOfNonContr"/>
            <w:bookmarkEnd w:id="936"/>
          </w:p>
        </w:tc>
      </w:tr>
      <w:tr>
        <w:trPr/>
        <w:tc>
          <w:tcPr>
            <w:tcW w:w="44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income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652" w:type="dxa"/>
            <w:tcBorders/>
            <w:shd w:fill="CCEEFF" w:val="clear"/>
            <w:vAlign w:val="center"/>
          </w:tcPr>
          <w:p>
            <w:pPr>
              <w:pStyle w:val="TableContents"/>
              <w:bidi w:val="0"/>
              <w:spacing w:before="0" w:after="283"/>
              <w:jc w:val="right"/>
              <w:rPr>
                <w:caps w:val="false"/>
                <w:smallCaps w:val="false"/>
              </w:rPr>
            </w:pPr>
            <w:r>
              <w:rPr>
                <w:caps w:val="false"/>
                <w:smallCaps w:val="false"/>
              </w:rPr>
              <w:t>                </w:t>
            </w:r>
            <w:r>
              <w:rPr>
                <w:rFonts w:ascii="Times New Roman;Times;Serif" w:hAnsi="Times New Roman;Times;Serif"/>
                <w:b w:val="false"/>
                <w:i w:val="false"/>
                <w:caps w:val="false"/>
                <w:smallCaps w:val="false"/>
                <w:sz w:val="20"/>
              </w:rPr>
              <w:t>-</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90" w:type="dxa"/>
            <w:tcBorders/>
            <w:shd w:fill="CCEEFF" w:val="clear"/>
            <w:vAlign w:val="center"/>
          </w:tcPr>
          <w:p>
            <w:pPr>
              <w:pStyle w:val="TableContents"/>
              <w:bidi w:val="0"/>
              <w:spacing w:before="0" w:after="283"/>
              <w:jc w:val="right"/>
              <w:rPr>
                <w:caps w:val="false"/>
                <w:smallCaps w:val="false"/>
              </w:rPr>
            </w:pPr>
            <w:r>
              <w:rPr>
                <w:caps w:val="false"/>
                <w:smallCaps w:val="false"/>
              </w:rPr>
              <w:t>                </w:t>
            </w:r>
            <w:r>
              <w:rPr>
                <w:rFonts w:ascii="Times New Roman;Times;Serif" w:hAnsi="Times New Roman;Times;Serif"/>
                <w:b w:val="false"/>
                <w:i w:val="false"/>
                <w:caps w:val="false"/>
                <w:smallCaps w:val="false"/>
                <w:sz w:val="20"/>
              </w:rPr>
              <w:t>95</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90" w:type="dxa"/>
            <w:tcBorders/>
            <w:shd w:fill="CCEEFF" w:val="clear"/>
            <w:vAlign w:val="center"/>
          </w:tcPr>
          <w:p>
            <w:pPr>
              <w:pStyle w:val="TableContents"/>
              <w:bidi w:val="0"/>
              <w:spacing w:before="0" w:after="283"/>
              <w:jc w:val="right"/>
              <w:rPr>
                <w:caps w:val="false"/>
                <w:smallCaps w:val="false"/>
              </w:rPr>
            </w:pPr>
            <w:r>
              <w:rPr>
                <w:caps w:val="false"/>
                <w:smallCaps w:val="false"/>
              </w:rPr>
              <w:t>                </w:t>
            </w:r>
            <w:r>
              <w:rPr>
                <w:rFonts w:ascii="Times New Roman;Times;Serif" w:hAnsi="Times New Roman;Times;Serif"/>
                <w:b w:val="false"/>
                <w:i w:val="false"/>
                <w:caps w:val="false"/>
                <w:smallCaps w:val="false"/>
                <w:sz w:val="20"/>
              </w:rPr>
              <w:t>95</w:t>
            </w:r>
          </w:p>
        </w:tc>
        <w:tc>
          <w:tcPr>
            <w:tcW w:w="200"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937" w:name="xdx_408_ecustom--AverageNoncontrollingIn"/>
            <w:bookmarkEnd w:id="937"/>
          </w:p>
        </w:tc>
      </w:tr>
      <w:tr>
        <w:trPr/>
        <w:tc>
          <w:tcPr>
            <w:tcW w:w="44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Average Non-Controlling interest percentage of losses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7"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65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w:t>
            </w:r>
          </w:p>
        </w:tc>
        <w:tc>
          <w:tcPr>
            <w:tcW w:w="1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9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w:t>
            </w:r>
          </w:p>
        </w:tc>
        <w:tc>
          <w:tcPr>
            <w:tcW w:w="1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9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w:t>
            </w:r>
          </w:p>
        </w:tc>
        <w:tc>
          <w:tcPr>
            <w:tcW w:w="2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4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income attributable to non-controlling interest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7"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65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bookmarkStart w:id="938" w:name="xdx_909_eus-gaap--NetIncomeLossAttributa"/>
            <w:bookmarkEnd w:id="938"/>
            <w:r>
              <w:rPr>
                <w:rFonts w:ascii="Times New Roman;Times;Serif" w:hAnsi="Times New Roman;Times;Serif"/>
                <w:b w:val="false"/>
                <w:i w:val="false"/>
                <w:caps w:val="false"/>
                <w:smallCaps w:val="false"/>
                <w:sz w:val="20"/>
              </w:rPr>
              <w:t>-</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9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bookmarkStart w:id="939" w:name="xdx_902_eus-gaap--NetIncomeLossAttributa"/>
            <w:bookmarkEnd w:id="939"/>
            <w:r>
              <w:rPr>
                <w:rFonts w:ascii="Times New Roman;Times;Serif" w:hAnsi="Times New Roman;Times;Serif"/>
                <w:b w:val="false"/>
                <w:i w:val="false"/>
                <w:caps w:val="false"/>
                <w:smallCaps w:val="false"/>
                <w:sz w:val="20"/>
              </w:rPr>
              <w:t>16</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9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bookmarkStart w:id="940" w:name="xdx_903_eus-gaap--NetIncomeLossAttributa"/>
            <w:bookmarkEnd w:id="940"/>
            <w:r>
              <w:rPr>
                <w:rFonts w:ascii="Times New Roman;Times;Serif" w:hAnsi="Times New Roman;Times;Serif"/>
                <w:b w:val="false"/>
                <w:i w:val="false"/>
                <w:caps w:val="false"/>
                <w:smallCaps w:val="false"/>
                <w:sz w:val="20"/>
              </w:rPr>
              <w:t>16</w:t>
            </w:r>
          </w:p>
        </w:tc>
        <w:tc>
          <w:tcPr>
            <w:tcW w:w="2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loss attributable to the non-controlling interest for the nine months ended September 30, 2024 (000’s):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918"/>
        <w:gridCol w:w="60"/>
        <w:gridCol w:w="166"/>
        <w:gridCol w:w="1679"/>
        <w:gridCol w:w="185"/>
        <w:gridCol w:w="60"/>
        <w:gridCol w:w="125"/>
        <w:gridCol w:w="1190"/>
        <w:gridCol w:w="185"/>
        <w:gridCol w:w="60"/>
        <w:gridCol w:w="125"/>
        <w:gridCol w:w="1250"/>
        <w:gridCol w:w="202"/>
      </w:tblGrid>
      <w:tr>
        <w:trPr/>
        <w:tc>
          <w:tcPr>
            <w:tcW w:w="4918"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bookmarkStart w:id="941" w:name="xdx_495_20240101__20240930__srt--Consoli"/>
            <w:bookmarkEnd w:id="941"/>
          </w:p>
        </w:tc>
        <w:tc>
          <w:tcPr>
            <w:tcW w:w="184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ViralClear</w:t>
            </w:r>
          </w:p>
        </w:tc>
        <w:tc>
          <w:tcPr>
            <w:tcW w:w="18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bookmarkStart w:id="942" w:name="xdx_49C_20240101__20240930__srt--Consoli"/>
            <w:bookmarkEnd w:id="942"/>
          </w:p>
        </w:tc>
        <w:tc>
          <w:tcPr>
            <w:tcW w:w="131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BioSig AI</w:t>
            </w:r>
          </w:p>
        </w:tc>
        <w:tc>
          <w:tcPr>
            <w:tcW w:w="18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bookmarkStart w:id="943" w:name="xdx_490_20240101__20240930_zhqmJk3HpIaa"/>
            <w:bookmarkEnd w:id="943"/>
          </w:p>
        </w:tc>
        <w:tc>
          <w:tcPr>
            <w:tcW w:w="1375" w:type="dxa"/>
            <w:gridSpan w:val="2"/>
            <w:tcBorders/>
            <w:vAlign w:val="center"/>
          </w:tcPr>
          <w:p>
            <w:pPr>
              <w:pStyle w:val="TableContents"/>
              <w:bidi w:val="0"/>
              <w:spacing w:before="0" w:after="283"/>
              <w:jc w:val="center"/>
              <w:rPr>
                <w:caps w:val="false"/>
                <w:smallCaps w:val="false"/>
              </w:rPr>
            </w:pPr>
            <w:r>
              <w:rPr>
                <w:caps w:val="false"/>
                <w:smallCaps w:val="false"/>
              </w:rPr>
              <w:t> </w:t>
            </w:r>
          </w:p>
        </w:tc>
        <w:tc>
          <w:tcPr>
            <w:tcW w:w="202"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4918"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84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Pharmaceuticals, Inc.</w:t>
            </w:r>
          </w:p>
        </w:tc>
        <w:tc>
          <w:tcPr>
            <w:tcW w:w="18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31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Sciences, Inc.</w:t>
            </w:r>
          </w:p>
        </w:tc>
        <w:tc>
          <w:tcPr>
            <w:tcW w:w="18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37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w:t>
            </w:r>
          </w:p>
        </w:tc>
        <w:tc>
          <w:tcPr>
            <w:tcW w:w="202"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4918"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84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(000’s)</w:t>
            </w:r>
          </w:p>
        </w:tc>
        <w:tc>
          <w:tcPr>
            <w:tcW w:w="18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31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(000’s)</w:t>
            </w:r>
          </w:p>
        </w:tc>
        <w:tc>
          <w:tcPr>
            <w:tcW w:w="18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37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(000’s)</w:t>
            </w:r>
          </w:p>
        </w:tc>
        <w:tc>
          <w:tcPr>
            <w:tcW w:w="202" w:type="dxa"/>
            <w:tcBorders/>
            <w:vAlign w:val="center"/>
          </w:tcPr>
          <w:p>
            <w:pPr>
              <w:pStyle w:val="TableContents"/>
              <w:bidi w:val="0"/>
              <w:spacing w:before="0" w:after="283"/>
              <w:jc w:val="center"/>
              <w:rPr>
                <w:caps w:val="false"/>
                <w:smallCaps w:val="false"/>
              </w:rPr>
            </w:pPr>
            <w:r>
              <w:rPr>
                <w:caps w:val="false"/>
                <w:smallCaps w:val="false"/>
              </w:rPr>
              <w:t> </w:t>
            </w:r>
            <w:bookmarkStart w:id="944" w:name="xdx_403_ecustom--NetIncomeLossOfNonContr"/>
            <w:bookmarkEnd w:id="944"/>
          </w:p>
        </w:tc>
      </w:tr>
      <w:tr>
        <w:trPr/>
        <w:tc>
          <w:tcPr>
            <w:tcW w:w="491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income (loss)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679" w:type="dxa"/>
            <w:tcBorders/>
            <w:shd w:fill="CCEEFF" w:val="clear"/>
            <w:vAlign w:val="center"/>
          </w:tcPr>
          <w:p>
            <w:pPr>
              <w:pStyle w:val="TableContents"/>
              <w:bidi w:val="0"/>
              <w:spacing w:before="0" w:after="283"/>
              <w:jc w:val="right"/>
              <w:rPr>
                <w:caps w:val="false"/>
                <w:smallCaps w:val="false"/>
              </w:rPr>
            </w:pPr>
            <w:r>
              <w:rPr>
                <w:caps w:val="false"/>
                <w:smallCaps w:val="false"/>
              </w:rPr>
              <w:t>                </w:t>
            </w:r>
            <w:r>
              <w:rPr>
                <w:rFonts w:ascii="Times New Roman;Times;Serif" w:hAnsi="Times New Roman;Times;Serif"/>
                <w:b w:val="false"/>
                <w:i w:val="false"/>
                <w:caps w:val="false"/>
                <w:smallCaps w:val="false"/>
                <w:sz w:val="20"/>
              </w:rPr>
              <w:t>(41</w:t>
            </w:r>
          </w:p>
        </w:tc>
        <w:tc>
          <w:tcPr>
            <w:tcW w:w="1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90" w:type="dxa"/>
            <w:tcBorders/>
            <w:shd w:fill="CCEEFF" w:val="clear"/>
            <w:vAlign w:val="center"/>
          </w:tcPr>
          <w:p>
            <w:pPr>
              <w:pStyle w:val="TableContents"/>
              <w:bidi w:val="0"/>
              <w:spacing w:before="0" w:after="283"/>
              <w:jc w:val="right"/>
              <w:rPr>
                <w:caps w:val="false"/>
                <w:smallCaps w:val="false"/>
              </w:rPr>
            </w:pPr>
            <w:r>
              <w:rPr>
                <w:caps w:val="false"/>
                <w:smallCaps w:val="false"/>
              </w:rPr>
              <w:t>                </w:t>
            </w:r>
            <w:r>
              <w:rPr>
                <w:rFonts w:ascii="Times New Roman;Times;Serif" w:hAnsi="Times New Roman;Times;Serif"/>
                <w:b w:val="false"/>
                <w:i w:val="false"/>
                <w:caps w:val="false"/>
                <w:smallCaps w:val="false"/>
                <w:sz w:val="20"/>
              </w:rPr>
              <w:t>24</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250" w:type="dxa"/>
            <w:tcBorders/>
            <w:shd w:fill="CCEEFF" w:val="clear"/>
            <w:vAlign w:val="center"/>
          </w:tcPr>
          <w:p>
            <w:pPr>
              <w:pStyle w:val="TableContents"/>
              <w:bidi w:val="0"/>
              <w:spacing w:before="0" w:after="283"/>
              <w:jc w:val="right"/>
              <w:rPr>
                <w:caps w:val="false"/>
                <w:smallCaps w:val="false"/>
              </w:rPr>
            </w:pPr>
            <w:r>
              <w:rPr>
                <w:caps w:val="false"/>
                <w:smallCaps w:val="false"/>
              </w:rPr>
              <w:t>                </w:t>
            </w:r>
            <w:r>
              <w:rPr>
                <w:rFonts w:ascii="Times New Roman;Times;Serif" w:hAnsi="Times New Roman;Times;Serif"/>
                <w:b w:val="false"/>
                <w:i w:val="false"/>
                <w:caps w:val="false"/>
                <w:smallCaps w:val="false"/>
                <w:sz w:val="20"/>
              </w:rPr>
              <w:t>(17</w:t>
            </w:r>
          </w:p>
        </w:tc>
        <w:tc>
          <w:tcPr>
            <w:tcW w:w="20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945" w:name="xdx_408_ecustom--AverageNoncontrollingIn"/>
            <w:bookmarkEnd w:id="945"/>
          </w:p>
        </w:tc>
      </w:tr>
      <w:tr>
        <w:trPr/>
        <w:tc>
          <w:tcPr>
            <w:tcW w:w="491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Average Non-Controlling interest percentage of profit/losses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6"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67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w:t>
            </w:r>
          </w:p>
        </w:tc>
        <w:tc>
          <w:tcPr>
            <w:tcW w:w="1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9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w:t>
            </w:r>
          </w:p>
        </w:tc>
        <w:tc>
          <w:tcPr>
            <w:tcW w:w="1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w:t>
            </w:r>
          </w:p>
        </w:tc>
        <w:tc>
          <w:tcPr>
            <w:tcW w:w="20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91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income (loss) attributable to non-controlling interest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6"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67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bookmarkStart w:id="946" w:name="xdx_90D_eus-gaap--NetIncomeLossAttributa"/>
            <w:bookmarkEnd w:id="946"/>
            <w:r>
              <w:rPr>
                <w:rFonts w:ascii="Times New Roman;Times;Serif" w:hAnsi="Times New Roman;Times;Serif"/>
                <w:b w:val="false"/>
                <w:i w:val="false"/>
                <w:caps w:val="false"/>
                <w:smallCaps w:val="false"/>
                <w:sz w:val="20"/>
              </w:rPr>
              <w:t>(13</w:t>
            </w:r>
          </w:p>
        </w:tc>
        <w:tc>
          <w:tcPr>
            <w:tcW w:w="1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9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bookmarkStart w:id="947" w:name="xdx_90D_eus-gaap--NetIncomeLossAttributa"/>
            <w:bookmarkEnd w:id="947"/>
            <w:r>
              <w:rPr>
                <w:rFonts w:ascii="Times New Roman;Times;Serif" w:hAnsi="Times New Roman;Times;Serif"/>
                <w:b w:val="false"/>
                <w:i w:val="false"/>
                <w:caps w:val="false"/>
                <w:smallCaps w:val="false"/>
                <w:sz w:val="20"/>
              </w:rPr>
              <w:t>4</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2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bookmarkStart w:id="948" w:name="xdx_90C_eus-gaap--NetIncomeLossAttributa"/>
            <w:bookmarkEnd w:id="948"/>
            <w:r>
              <w:rPr>
                <w:rFonts w:ascii="Times New Roman;Times;Serif" w:hAnsi="Times New Roman;Times;Serif"/>
                <w:b w:val="false"/>
                <w:i w:val="false"/>
                <w:caps w:val="false"/>
                <w:smallCaps w:val="false"/>
                <w:sz w:val="20"/>
              </w:rPr>
              <w:t>(9</w:t>
            </w:r>
          </w:p>
        </w:tc>
        <w:tc>
          <w:tcPr>
            <w:tcW w:w="20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bl>
    <w:p>
      <w:pPr>
        <w:pStyle w:val="TextBody"/>
        <w:bidi w:val="0"/>
        <w:spacing w:before="0" w:after="0"/>
        <w:ind w:left="0" w:right="0" w:hanging="0"/>
        <w:jc w:val="both"/>
        <w:rPr>
          <w:caps w:val="false"/>
          <w:smallCaps w:val="false"/>
        </w:rPr>
      </w:pPr>
      <w:bookmarkStart w:id="949" w:name="xdx_8A5_zvOZIhxtjXo8"/>
      <w:bookmarkEnd w:id="949"/>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950" w:name="xdx_890_eus-gaap--ConsolidationLessThanW"/>
      <w:bookmarkEnd w:id="950"/>
      <w:r>
        <w:rPr>
          <w:rFonts w:ascii="Times New Roman;Times;Serif" w:hAnsi="Times New Roman;Times;Serif"/>
          <w:b w:val="false"/>
          <w:i w:val="false"/>
          <w:caps w:val="false"/>
          <w:smallCaps w:val="false"/>
          <w:sz w:val="20"/>
        </w:rPr>
        <w:t>The following table summarizes the changes in non-controlling interest for the nine months ended September 30, 2025 (000’s):</w:t>
      </w:r>
    </w:p>
    <w:p>
      <w:pPr>
        <w:pStyle w:val="TextBody"/>
        <w:bidi w:val="0"/>
        <w:spacing w:before="0" w:after="0"/>
        <w:ind w:left="0" w:right="0" w:hanging="0"/>
        <w:jc w:val="both"/>
        <w:rPr>
          <w:caps w:val="false"/>
          <w:smallCaps w:val="false"/>
        </w:rPr>
      </w:pPr>
      <w:r>
        <w:rPr>
          <w:caps w:val="false"/>
          <w:smallCaps w:val="false"/>
        </w:rPr>
        <w:t> </w:t>
      </w:r>
      <w:bookmarkStart w:id="951" w:name="xdx_8BF_zSjGuNEp1QAg"/>
      <w:bookmarkEnd w:id="951"/>
      <w:r>
        <w:rPr>
          <w:rFonts w:ascii="Times New Roman;Times;Serif" w:hAnsi="Times New Roman;Times;Serif"/>
          <w:b w:val="false"/>
          <w:i w:val="false"/>
          <w:caps w:val="false"/>
          <w:smallCaps w:val="false"/>
          <w:sz w:val="20"/>
        </w:rPr>
        <w:t>SCHEDULE OF CHANGES IN NON-CONTROLLING INTEREST</w:t>
      </w:r>
    </w:p>
    <w:tbl>
      <w:tblPr>
        <w:tblW w:w="9124" w:type="dxa"/>
        <w:jc w:val="left"/>
        <w:tblInd w:w="0" w:type="dxa"/>
        <w:tblLayout w:type="fixed"/>
        <w:tblCellMar>
          <w:top w:w="0" w:type="dxa"/>
          <w:left w:w="0" w:type="dxa"/>
          <w:bottom w:w="0" w:type="dxa"/>
          <w:right w:w="0" w:type="dxa"/>
        </w:tblCellMar>
      </w:tblPr>
      <w:tblGrid>
        <w:gridCol w:w="4145"/>
        <w:gridCol w:w="60"/>
        <w:gridCol w:w="155"/>
        <w:gridCol w:w="1694"/>
        <w:gridCol w:w="80"/>
        <w:gridCol w:w="60"/>
        <w:gridCol w:w="125"/>
        <w:gridCol w:w="1295"/>
        <w:gridCol w:w="60"/>
        <w:gridCol w:w="60"/>
        <w:gridCol w:w="125"/>
        <w:gridCol w:w="1190"/>
        <w:gridCol w:w="75"/>
      </w:tblGrid>
      <w:tr>
        <w:trPr/>
        <w:tc>
          <w:tcPr>
            <w:tcW w:w="414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bookmarkStart w:id="952" w:name="xdx_4B8_srt--ConsolidatedEntitiesAxis_cu"/>
            <w:bookmarkEnd w:id="952"/>
          </w:p>
        </w:tc>
        <w:tc>
          <w:tcPr>
            <w:tcW w:w="1849"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ViralClear</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bookmarkStart w:id="953" w:name="xdx_4BB_srt--ConsolidatedEntitiesAxis_cu"/>
            <w:bookmarkEnd w:id="953"/>
          </w:p>
        </w:tc>
        <w:tc>
          <w:tcPr>
            <w:tcW w:w="142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BioSig AI</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bookmarkStart w:id="954" w:name="xdx_4B3_zJ2H1RFlbBz1"/>
            <w:bookmarkEnd w:id="954"/>
          </w:p>
        </w:tc>
        <w:tc>
          <w:tcPr>
            <w:tcW w:w="1315" w:type="dxa"/>
            <w:gridSpan w:val="2"/>
            <w:tcBorders/>
            <w:vAlign w:val="center"/>
          </w:tcPr>
          <w:p>
            <w:pPr>
              <w:pStyle w:val="TableContents"/>
              <w:bidi w:val="0"/>
              <w:spacing w:before="0" w:after="283"/>
              <w:jc w:val="center"/>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14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849"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Pharmaceuticals, Inc.</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42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Sciences, Inc.</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31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14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84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(000’s)</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42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(000’s)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31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(000’s)</w:t>
            </w:r>
          </w:p>
        </w:tc>
        <w:tc>
          <w:tcPr>
            <w:tcW w:w="75" w:type="dxa"/>
            <w:tcBorders/>
            <w:vAlign w:val="center"/>
          </w:tcPr>
          <w:p>
            <w:pPr>
              <w:pStyle w:val="TableContents"/>
              <w:bidi w:val="0"/>
              <w:spacing w:before="0" w:after="283"/>
              <w:jc w:val="left"/>
              <w:rPr>
                <w:caps w:val="false"/>
                <w:smallCaps w:val="false"/>
              </w:rPr>
            </w:pPr>
            <w:r>
              <w:rPr>
                <w:caps w:val="false"/>
                <w:smallCaps w:val="false"/>
              </w:rPr>
              <w:t> </w:t>
            </w:r>
            <w:bookmarkStart w:id="955" w:name="xdx_43B_c20250101__20250930_eus-gaap--Mi"/>
            <w:bookmarkEnd w:id="955"/>
          </w:p>
        </w:tc>
      </w:tr>
      <w:tr>
        <w:trPr/>
        <w:tc>
          <w:tcPr>
            <w:tcW w:w="41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Balance, January 1, 2025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694" w:type="dxa"/>
            <w:tcBorders/>
            <w:shd w:fill="CCEEFF" w:val="clear"/>
            <w:vAlign w:val="center"/>
          </w:tcPr>
          <w:p>
            <w:pPr>
              <w:pStyle w:val="TableContents"/>
              <w:bidi w:val="0"/>
              <w:spacing w:before="0" w:after="283"/>
              <w:jc w:val="right"/>
              <w:rPr>
                <w:caps w:val="false"/>
                <w:smallCaps w:val="false"/>
              </w:rPr>
            </w:pPr>
            <w:r>
              <w:rPr>
                <w:caps w:val="false"/>
                <w:smallCaps w:val="false"/>
              </w:rPr>
              <w:t>                </w:t>
            </w:r>
            <w:r>
              <w:rPr>
                <w:rFonts w:ascii="Times New Roman;Times;Serif" w:hAnsi="Times New Roman;Times;Serif"/>
                <w:b w:val="false"/>
                <w:i w:val="false"/>
                <w:caps w:val="false"/>
                <w:smallCaps w:val="false"/>
                <w:sz w:val="20"/>
              </w:rPr>
              <w:t>(171</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295" w:type="dxa"/>
            <w:tcBorders/>
            <w:shd w:fill="CCEEFF" w:val="clear"/>
            <w:vAlign w:val="center"/>
          </w:tcPr>
          <w:p>
            <w:pPr>
              <w:pStyle w:val="TableContents"/>
              <w:bidi w:val="0"/>
              <w:spacing w:before="0" w:after="283"/>
              <w:jc w:val="right"/>
              <w:rPr>
                <w:caps w:val="false"/>
                <w:smallCaps w:val="false"/>
              </w:rPr>
            </w:pPr>
            <w:r>
              <w:rPr>
                <w:caps w:val="false"/>
                <w:smallCaps w:val="false"/>
              </w:rPr>
              <w:t>                </w:t>
            </w:r>
            <w:r>
              <w:rPr>
                <w:rFonts w:ascii="Times New Roman;Times;Serif" w:hAnsi="Times New Roman;Times;Serif"/>
                <w:b w:val="false"/>
                <w:i w:val="false"/>
                <w:caps w:val="false"/>
                <w:smallCaps w:val="false"/>
                <w:sz w:val="20"/>
              </w:rPr>
              <w:t>188</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90" w:type="dxa"/>
            <w:tcBorders/>
            <w:shd w:fill="CCEEFF" w:val="clear"/>
            <w:vAlign w:val="center"/>
          </w:tcPr>
          <w:p>
            <w:pPr>
              <w:pStyle w:val="TableContents"/>
              <w:bidi w:val="0"/>
              <w:spacing w:before="0" w:after="283"/>
              <w:jc w:val="right"/>
              <w:rPr>
                <w:caps w:val="false"/>
                <w:smallCaps w:val="false"/>
              </w:rPr>
            </w:pPr>
            <w:r>
              <w:rPr>
                <w:caps w:val="false"/>
                <w:smallCaps w:val="false"/>
              </w:rPr>
              <w:t>                </w:t>
            </w:r>
            <w:r>
              <w:rPr>
                <w:rFonts w:ascii="Times New Roman;Times;Serif" w:hAnsi="Times New Roman;Times;Serif"/>
                <w:b w:val="false"/>
                <w:i w:val="false"/>
                <w:caps w:val="false"/>
                <w:smallCaps w:val="false"/>
                <w:sz w:val="20"/>
              </w:rPr>
              <w:t>17</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956" w:name="xdx_409_eus-gaap--NetIncomeLossAttributa"/>
            <w:bookmarkEnd w:id="956"/>
          </w:p>
        </w:tc>
      </w:tr>
      <w:tr>
        <w:trPr/>
        <w:tc>
          <w:tcPr>
            <w:tcW w:w="41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income attributable to non-controlling interest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69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9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9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957" w:name="xdx_43B_c20250101__20250930_eus-gaap--Mi"/>
            <w:bookmarkEnd w:id="957"/>
          </w:p>
        </w:tc>
      </w:tr>
      <w:tr>
        <w:trPr/>
        <w:tc>
          <w:tcPr>
            <w:tcW w:w="41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Balance, September 30, 2025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69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(171</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2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the changes in non-controlling interest for the nine months ended September 30, 2024 (000’s):</w:t>
      </w:r>
    </w:p>
    <w:p>
      <w:pPr>
        <w:pStyle w:val="TextBody"/>
        <w:bidi w:val="0"/>
        <w:spacing w:before="0" w:after="0"/>
        <w:ind w:left="0" w:right="0" w:hanging="0"/>
        <w:jc w:val="both"/>
        <w:rPr>
          <w:caps w:val="false"/>
          <w:smallCaps w:val="false"/>
        </w:rPr>
      </w:pPr>
      <w:r>
        <w:rPr>
          <w:caps w:val="false"/>
          <w:smallCaps w:val="false"/>
        </w:rPr>
        <w:t> </w:t>
      </w:r>
    </w:p>
    <w:tbl>
      <w:tblPr>
        <w:tblW w:w="9624" w:type="dxa"/>
        <w:jc w:val="left"/>
        <w:tblInd w:w="0" w:type="dxa"/>
        <w:tblLayout w:type="fixed"/>
        <w:tblCellMar>
          <w:top w:w="0" w:type="dxa"/>
          <w:left w:w="0" w:type="dxa"/>
          <w:bottom w:w="0" w:type="dxa"/>
          <w:right w:w="0" w:type="dxa"/>
        </w:tblCellMar>
      </w:tblPr>
      <w:tblGrid>
        <w:gridCol w:w="4625"/>
        <w:gridCol w:w="60"/>
        <w:gridCol w:w="155"/>
        <w:gridCol w:w="1694"/>
        <w:gridCol w:w="80"/>
        <w:gridCol w:w="60"/>
        <w:gridCol w:w="125"/>
        <w:gridCol w:w="1295"/>
        <w:gridCol w:w="60"/>
        <w:gridCol w:w="60"/>
        <w:gridCol w:w="125"/>
        <w:gridCol w:w="1190"/>
        <w:gridCol w:w="95"/>
      </w:tblGrid>
      <w:tr>
        <w:trPr/>
        <w:tc>
          <w:tcPr>
            <w:tcW w:w="462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bookmarkStart w:id="958" w:name="xdx_4B8_srt--ConsolidatedEntitiesAxis_cu"/>
            <w:bookmarkEnd w:id="958"/>
          </w:p>
        </w:tc>
        <w:tc>
          <w:tcPr>
            <w:tcW w:w="1849"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ViralClear</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bookmarkStart w:id="959" w:name="xdx_4BB_srt--ConsolidatedEntitiesAxis_cu"/>
            <w:bookmarkEnd w:id="959"/>
          </w:p>
        </w:tc>
        <w:tc>
          <w:tcPr>
            <w:tcW w:w="142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BioSig AI</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bookmarkStart w:id="960" w:name="xdx_4B3_zS1dhZlU7Mba"/>
            <w:bookmarkEnd w:id="960"/>
          </w:p>
        </w:tc>
        <w:tc>
          <w:tcPr>
            <w:tcW w:w="1315" w:type="dxa"/>
            <w:gridSpan w:val="2"/>
            <w:tcBorders/>
            <w:vAlign w:val="center"/>
          </w:tcPr>
          <w:p>
            <w:pPr>
              <w:pStyle w:val="TableContents"/>
              <w:bidi w:val="0"/>
              <w:spacing w:before="0" w:after="283"/>
              <w:jc w:val="center"/>
              <w:rPr>
                <w:caps w:val="false"/>
                <w:smallCaps w:val="false"/>
              </w:rPr>
            </w:pPr>
            <w:r>
              <w:rPr>
                <w:caps w:val="false"/>
                <w:smallCaps w:val="false"/>
              </w:rPr>
              <w:t> </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62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849"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Pharmaceuticals, Inc.</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42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Sciences, Inc.</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31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62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84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(000’s)</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42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(000’s)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31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(000’s)</w:t>
            </w:r>
          </w:p>
        </w:tc>
        <w:tc>
          <w:tcPr>
            <w:tcW w:w="95" w:type="dxa"/>
            <w:tcBorders/>
            <w:vAlign w:val="center"/>
          </w:tcPr>
          <w:p>
            <w:pPr>
              <w:pStyle w:val="TableContents"/>
              <w:bidi w:val="0"/>
              <w:spacing w:before="0" w:after="283"/>
              <w:jc w:val="left"/>
              <w:rPr>
                <w:caps w:val="false"/>
                <w:smallCaps w:val="false"/>
              </w:rPr>
            </w:pPr>
            <w:r>
              <w:rPr>
                <w:caps w:val="false"/>
                <w:smallCaps w:val="false"/>
              </w:rPr>
              <w:t> </w:t>
            </w:r>
            <w:bookmarkStart w:id="961" w:name="xdx_433_c20240101__20240930_eus-gaap--Mi"/>
            <w:bookmarkEnd w:id="961"/>
          </w:p>
        </w:tc>
      </w:tr>
      <w:tr>
        <w:trPr/>
        <w:tc>
          <w:tcPr>
            <w:tcW w:w="46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Balance, January 1, 2024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694" w:type="dxa"/>
            <w:tcBorders/>
            <w:shd w:fill="CCEEFF" w:val="clear"/>
            <w:vAlign w:val="center"/>
          </w:tcPr>
          <w:p>
            <w:pPr>
              <w:pStyle w:val="TableContents"/>
              <w:bidi w:val="0"/>
              <w:spacing w:before="0" w:after="283"/>
              <w:jc w:val="right"/>
              <w:rPr>
                <w:caps w:val="false"/>
                <w:smallCaps w:val="false"/>
              </w:rPr>
            </w:pPr>
            <w:r>
              <w:rPr>
                <w:caps w:val="false"/>
                <w:smallCaps w:val="false"/>
              </w:rPr>
              <w:t>                </w:t>
            </w:r>
            <w:r>
              <w:rPr>
                <w:rFonts w:ascii="Times New Roman;Times;Serif" w:hAnsi="Times New Roman;Times;Serif"/>
                <w:b w:val="false"/>
                <w:i w:val="false"/>
                <w:caps w:val="false"/>
                <w:smallCaps w:val="false"/>
                <w:sz w:val="20"/>
              </w:rPr>
              <w:t>(158</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295" w:type="dxa"/>
            <w:tcBorders/>
            <w:shd w:fill="CCEEFF" w:val="clear"/>
            <w:vAlign w:val="center"/>
          </w:tcPr>
          <w:p>
            <w:pPr>
              <w:pStyle w:val="TableContents"/>
              <w:bidi w:val="0"/>
              <w:spacing w:before="0" w:after="283"/>
              <w:jc w:val="right"/>
              <w:rPr>
                <w:caps w:val="false"/>
                <w:smallCaps w:val="false"/>
              </w:rPr>
            </w:pPr>
            <w:r>
              <w:rPr>
                <w:caps w:val="false"/>
                <w:smallCaps w:val="false"/>
              </w:rPr>
              <w:t>                </w:t>
            </w:r>
            <w:r>
              <w:rPr>
                <w:rFonts w:ascii="Times New Roman;Times;Serif" w:hAnsi="Times New Roman;Times;Serif"/>
                <w:b w:val="false"/>
                <w:i w:val="false"/>
                <w:caps w:val="false"/>
                <w:smallCaps w:val="false"/>
                <w:sz w:val="20"/>
              </w:rPr>
              <w:t>184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90" w:type="dxa"/>
            <w:tcBorders/>
            <w:shd w:fill="CCEEFF" w:val="clear"/>
            <w:vAlign w:val="center"/>
          </w:tcPr>
          <w:p>
            <w:pPr>
              <w:pStyle w:val="TableContents"/>
              <w:bidi w:val="0"/>
              <w:spacing w:before="0" w:after="283"/>
              <w:jc w:val="right"/>
              <w:rPr>
                <w:caps w:val="false"/>
                <w:smallCaps w:val="false"/>
              </w:rPr>
            </w:pPr>
            <w:r>
              <w:rPr>
                <w:caps w:val="false"/>
                <w:smallCaps w:val="false"/>
              </w:rPr>
              <w:t>                </w:t>
            </w:r>
            <w:r>
              <w:rPr>
                <w:rFonts w:ascii="Times New Roman;Times;Serif" w:hAnsi="Times New Roman;Times;Serif"/>
                <w:b w:val="false"/>
                <w:i w:val="false"/>
                <w:caps w:val="false"/>
                <w:smallCaps w:val="false"/>
                <w:sz w:val="20"/>
              </w:rPr>
              <w:t>26</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962" w:name="xdx_432_c20240101__20240930_eus-gaap--Mi"/>
            <w:bookmarkEnd w:id="962"/>
          </w:p>
        </w:tc>
      </w:tr>
      <w:tr>
        <w:trPr/>
        <w:tc>
          <w:tcPr>
            <w:tcW w:w="46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Balance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694" w:type="dxa"/>
            <w:tcBorders/>
            <w:shd w:fill="CCEEFF" w:val="clear"/>
            <w:vAlign w:val="center"/>
          </w:tcPr>
          <w:p>
            <w:pPr>
              <w:pStyle w:val="TableContents"/>
              <w:bidi w:val="0"/>
              <w:spacing w:before="0" w:after="283"/>
              <w:jc w:val="right"/>
              <w:rPr>
                <w:caps w:val="false"/>
                <w:smallCaps w:val="false"/>
              </w:rPr>
            </w:pPr>
            <w:r>
              <w:rPr>
                <w:caps w:val="false"/>
                <w:smallCaps w:val="false"/>
              </w:rPr>
              <w:t>                </w:t>
            </w:r>
            <w:r>
              <w:rPr>
                <w:rFonts w:ascii="Times New Roman;Times;Serif" w:hAnsi="Times New Roman;Times;Serif"/>
                <w:b w:val="false"/>
                <w:i w:val="false"/>
                <w:caps w:val="false"/>
                <w:smallCaps w:val="false"/>
                <w:sz w:val="20"/>
              </w:rPr>
              <w:t>(158</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295" w:type="dxa"/>
            <w:tcBorders/>
            <w:shd w:fill="CCEEFF" w:val="clear"/>
            <w:vAlign w:val="center"/>
          </w:tcPr>
          <w:p>
            <w:pPr>
              <w:pStyle w:val="TableContents"/>
              <w:bidi w:val="0"/>
              <w:spacing w:before="0" w:after="283"/>
              <w:jc w:val="right"/>
              <w:rPr>
                <w:caps w:val="false"/>
                <w:smallCaps w:val="false"/>
              </w:rPr>
            </w:pPr>
            <w:r>
              <w:rPr>
                <w:caps w:val="false"/>
                <w:smallCaps w:val="false"/>
              </w:rPr>
              <w:t>                </w:t>
            </w:r>
            <w:r>
              <w:rPr>
                <w:rFonts w:ascii="Times New Roman;Times;Serif" w:hAnsi="Times New Roman;Times;Serif"/>
                <w:b w:val="false"/>
                <w:i w:val="false"/>
                <w:caps w:val="false"/>
                <w:smallCaps w:val="false"/>
                <w:sz w:val="20"/>
              </w:rPr>
              <w:t>184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90" w:type="dxa"/>
            <w:tcBorders/>
            <w:shd w:fill="CCEEFF" w:val="clear"/>
            <w:vAlign w:val="center"/>
          </w:tcPr>
          <w:p>
            <w:pPr>
              <w:pStyle w:val="TableContents"/>
              <w:bidi w:val="0"/>
              <w:spacing w:before="0" w:after="283"/>
              <w:jc w:val="right"/>
              <w:rPr>
                <w:caps w:val="false"/>
                <w:smallCaps w:val="false"/>
              </w:rPr>
            </w:pPr>
            <w:r>
              <w:rPr>
                <w:caps w:val="false"/>
                <w:smallCaps w:val="false"/>
              </w:rPr>
              <w:t>                </w:t>
            </w:r>
            <w:r>
              <w:rPr>
                <w:rFonts w:ascii="Times New Roman;Times;Serif" w:hAnsi="Times New Roman;Times;Serif"/>
                <w:b w:val="false"/>
                <w:i w:val="false"/>
                <w:caps w:val="false"/>
                <w:smallCaps w:val="false"/>
                <w:sz w:val="20"/>
              </w:rPr>
              <w:t>26</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963" w:name="xdx_409_eus-gaap--NetIncomeLossAttributa"/>
            <w:bookmarkEnd w:id="963"/>
          </w:p>
        </w:tc>
      </w:tr>
      <w:tr>
        <w:trPr/>
        <w:tc>
          <w:tcPr>
            <w:tcW w:w="46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income (loss) attributable to non-controlling interest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69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9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9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964" w:name="xdx_435_c20240101__20240930_eus-gaap--Mi"/>
            <w:bookmarkEnd w:id="964"/>
          </w:p>
        </w:tc>
      </w:tr>
      <w:tr>
        <w:trPr/>
        <w:tc>
          <w:tcPr>
            <w:tcW w:w="46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Balance, September 30, 2024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69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(171</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2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188</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965" w:name="xdx_431_c20240101__20240930_eus-gaap--Mi"/>
            <w:bookmarkEnd w:id="965"/>
          </w:p>
        </w:tc>
      </w:tr>
      <w:tr>
        <w:trPr/>
        <w:tc>
          <w:tcPr>
            <w:tcW w:w="46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Balance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69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(171</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2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188</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both"/>
        <w:rPr>
          <w:caps w:val="false"/>
          <w:smallCaps w:val="false"/>
        </w:rPr>
      </w:pPr>
      <w:bookmarkStart w:id="966" w:name="xdx_8A0_zA2mwIx4e2Uj"/>
      <w:bookmarkEnd w:id="966"/>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21</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STREAMEX CORP.</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THE CONDENSED CONSOLIDATED FINANCIAL STATEMENTS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SEPTEMBER 30, 2025 </w:t>
      </w:r>
      <w:r>
        <w:rPr>
          <w:rFonts w:ascii="Times New Roman;Times;Serif" w:hAnsi="Times New Roman;Times;Serif"/>
          <w:b/>
          <w:i/>
          <w:caps w:val="false"/>
          <w:smallCaps w:val="false"/>
          <w:sz w:val="20"/>
        </w:rPr>
        <w:t>(</w:t>
      </w:r>
      <w:r>
        <w:rPr>
          <w:rFonts w:ascii="Times New Roman;Times;Serif" w:hAnsi="Times New Roman;Times;Serif"/>
          <w:b/>
          <w:i w:val="false"/>
          <w:caps w:val="false"/>
          <w:smallCaps w:val="false"/>
          <w:sz w:val="20"/>
        </w:rPr>
        <w:t>Unaudited</w:t>
      </w:r>
      <w:r>
        <w:rPr>
          <w:rFonts w:ascii="Times New Roman;Times;Serif" w:hAnsi="Times New Roman;Times;Serif"/>
          <w:b/>
          <w:i/>
          <w:caps w:val="false"/>
          <w:smallCaps w:val="false"/>
          <w:sz w:val="20"/>
        </w:rPr>
        <w: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967" w:name="xdx_807_eus-gaap--CommitmentsAndContinge"/>
      <w:bookmarkEnd w:id="967"/>
      <w:r>
        <w:rPr>
          <w:rFonts w:ascii="Times New Roman;Times;Serif" w:hAnsi="Times New Roman;Times;Serif"/>
          <w:b/>
          <w:i w:val="false"/>
          <w:caps w:val="false"/>
          <w:smallCaps w:val="false"/>
          <w:sz w:val="20"/>
        </w:rPr>
        <w:t xml:space="preserve">NOTE 12 — </w:t>
      </w:r>
      <w:bookmarkStart w:id="968" w:name="xdx_822_zEU7kWEO1ss8"/>
      <w:bookmarkEnd w:id="968"/>
      <w:r>
        <w:rPr>
          <w:rFonts w:ascii="Times New Roman;Times;Serif" w:hAnsi="Times New Roman;Times;Serif"/>
          <w:b/>
          <w:i w:val="false"/>
          <w:caps w:val="false"/>
          <w:smallCaps w:val="false"/>
          <w:sz w:val="20"/>
        </w:rPr>
        <w:t>COMMITMENTS AND CONTINGENCIES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2017 Know-How License Agreement with Mayo Foundation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March 15, 2017, the Company entered into an exclusive license agreement with Mayo Foundation for Medical Education and Research, covering specific know-how and patent applications in signal processing and electrophysiology. The agreement has a ten-year term. The Company is obligated to pay royalties of </w:t>
      </w:r>
      <w:bookmarkStart w:id="969" w:name="xdx_908_ecustom--RoyaltyPercentageOfNetS"/>
      <w:bookmarkEnd w:id="969"/>
      <w:r>
        <w:rPr>
          <w:rFonts w:ascii="Times New Roman;Times;Serif" w:hAnsi="Times New Roman;Times;Serif"/>
          <w:b w:val="false"/>
          <w:i w:val="false"/>
          <w:caps w:val="false"/>
          <w:smallCaps w:val="false"/>
          <w:sz w:val="20"/>
        </w:rPr>
        <w:t xml:space="preserve">1% or </w:t>
      </w:r>
      <w:bookmarkStart w:id="970" w:name="xdx_905_ecustom--RoyaltyPercentageOfNetS"/>
      <w:bookmarkEnd w:id="970"/>
      <w:r>
        <w:rPr>
          <w:rFonts w:ascii="Times New Roman;Times;Serif" w:hAnsi="Times New Roman;Times;Serif"/>
          <w:b w:val="false"/>
          <w:i w:val="false"/>
          <w:caps w:val="false"/>
          <w:smallCaps w:val="false"/>
          <w:sz w:val="20"/>
        </w:rPr>
        <w:t>2% on net sales of licensed products. As of September 30, 2025 and December 31, 2024, accounts payable under this agreement was $</w:t>
      </w:r>
      <w:bookmarkStart w:id="971" w:name="xdx_90C_eus-gaap--AccountsPayableOtherCu"/>
      <w:bookmarkStart w:id="972" w:name="xdx_908_eus-gaap--AccountsPayableOtherCu"/>
      <w:bookmarkEnd w:id="971"/>
      <w:bookmarkEnd w:id="972"/>
      <w:r>
        <w:rPr>
          <w:rFonts w:ascii="Times New Roman;Times;Serif" w:hAnsi="Times New Roman;Times;Serif"/>
          <w:b w:val="false"/>
          <w:i w:val="false"/>
          <w:caps w:val="false"/>
          <w:smallCaps w:val="false"/>
          <w:sz w:val="20"/>
        </w:rPr>
        <w:t>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EP Software License Agreement (2019)</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20, 2019, the Company entered into an exclusive worldwide license agreement with Mayo for electrophysiology software and related patent rights. The agreement includes earned royalty payments and milestone payments up to $</w:t>
      </w:r>
      <w:bookmarkStart w:id="973" w:name="xdx_90A_eus-gaap--RoyaltyGuaranteesCommi"/>
      <w:bookmarkEnd w:id="973"/>
      <w:r>
        <w:rPr>
          <w:rFonts w:ascii="Times New Roman;Times;Serif" w:hAnsi="Times New Roman;Times;Serif"/>
          <w:b w:val="false"/>
          <w:i w:val="false"/>
          <w:caps w:val="false"/>
          <w:smallCaps w:val="false"/>
          <w:sz w:val="20"/>
        </w:rPr>
        <w:t>625,000. It expires upon the later of the patent rights’ expiration or the 10th anniversary of the first commercial sale. As of September 30, 2025 and December 31, 2024, accounts payable under this agreement was $</w:t>
      </w:r>
      <w:bookmarkStart w:id="974" w:name="xdx_90A_eus-gaap--AccountsPayableOtherCu"/>
      <w:bookmarkStart w:id="975" w:name="xdx_906_eus-gaap--AccountsPayableOtherCu"/>
      <w:bookmarkEnd w:id="974"/>
      <w:bookmarkEnd w:id="975"/>
      <w:r>
        <w:rPr>
          <w:rFonts w:ascii="Times New Roman;Times;Serif" w:hAnsi="Times New Roman;Times;Serif"/>
          <w:b w:val="false"/>
          <w:i w:val="false"/>
          <w:caps w:val="false"/>
          <w:smallCaps w:val="false"/>
          <w:sz w:val="20"/>
        </w:rPr>
        <w:t>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Tools License Agreement (2019)</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Also on November 20, 2019, the Company entered into an amended and restated license agreement with Mayo for electrophysiology systems. The Company paid an upfront fee of $</w:t>
      </w:r>
      <w:bookmarkStart w:id="976" w:name="xdx_900_eus-gaap--OtherCommitment_iI_c20"/>
      <w:bookmarkEnd w:id="976"/>
      <w:r>
        <w:rPr>
          <w:rFonts w:ascii="Times New Roman;Times;Serif" w:hAnsi="Times New Roman;Times;Serif"/>
          <w:b w:val="false"/>
          <w:i w:val="false"/>
          <w:caps w:val="false"/>
          <w:smallCaps w:val="false"/>
          <w:sz w:val="20"/>
        </w:rPr>
        <w:t>100,000 and agreed to milestone payments up to $</w:t>
      </w:r>
      <w:bookmarkStart w:id="977" w:name="xdx_900_eus-gaap--RoyaltyGuaranteesCommi"/>
      <w:bookmarkEnd w:id="977"/>
      <w:r>
        <w:rPr>
          <w:rFonts w:ascii="Times New Roman;Times;Serif" w:hAnsi="Times New Roman;Times;Serif"/>
          <w:b w:val="false"/>
          <w:i w:val="false"/>
          <w:caps w:val="false"/>
          <w:smallCaps w:val="false"/>
          <w:sz w:val="20"/>
        </w:rPr>
        <w:t>550,000. In June 2021, a $</w:t>
      </w:r>
      <w:bookmarkStart w:id="978" w:name="xdx_902_eus-gaap--PaymentsForRoyalties_c"/>
      <w:bookmarkEnd w:id="978"/>
      <w:r>
        <w:rPr>
          <w:rFonts w:ascii="Times New Roman;Times;Serif" w:hAnsi="Times New Roman;Times;Serif"/>
          <w:b w:val="false"/>
          <w:i w:val="false"/>
          <w:caps w:val="false"/>
          <w:smallCaps w:val="false"/>
          <w:sz w:val="20"/>
        </w:rPr>
        <w:t>75,000 milestone payment was made upon the issuance of patent rights. As of September 30, 2025 and December 31, 2024, accounts payable under this agreement was $</w:t>
      </w:r>
      <w:bookmarkStart w:id="979" w:name="xdx_903_eus-gaap--AccountsPayableOtherCu"/>
      <w:bookmarkStart w:id="980" w:name="xdx_90D_eus-gaap--AccountsPayableOtherCu"/>
      <w:bookmarkEnd w:id="979"/>
      <w:bookmarkEnd w:id="980"/>
      <w:r>
        <w:rPr>
          <w:rFonts w:ascii="Times New Roman;Times;Serif" w:hAnsi="Times New Roman;Times;Serif"/>
          <w:b w:val="false"/>
          <w:i w:val="false"/>
          <w:caps w:val="false"/>
          <w:smallCaps w:val="false"/>
          <w:sz w:val="20"/>
        </w:rPr>
        <w:t>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ViralClear License Agreement (2019)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20, 2019, the Company’s majority-owned subsidiary, ViralClear, entered into an exclusive license agreement with Mayo for technologies related to stimulation and electroporation for various medical treatments. The agreement includes earned royalty payments and milestone payments up to $</w:t>
      </w:r>
      <w:bookmarkStart w:id="981" w:name="xdx_903_eus-gaap--RoyaltyGuaranteesCommi"/>
      <w:bookmarkEnd w:id="981"/>
      <w:r>
        <w:rPr>
          <w:rFonts w:ascii="Times New Roman;Times;Serif" w:hAnsi="Times New Roman;Times;Serif"/>
          <w:b w:val="false"/>
          <w:i w:val="false"/>
          <w:caps w:val="false"/>
          <w:smallCaps w:val="false"/>
          <w:sz w:val="20"/>
        </w:rPr>
        <w:t>700,000. In June 2021, a $</w:t>
      </w:r>
      <w:bookmarkStart w:id="982" w:name="xdx_907_eus-gaap--PaymentsForRoyalties_c"/>
      <w:bookmarkEnd w:id="982"/>
      <w:r>
        <w:rPr>
          <w:rFonts w:ascii="Times New Roman;Times;Serif" w:hAnsi="Times New Roman;Times;Serif"/>
          <w:b w:val="false"/>
          <w:i w:val="false"/>
          <w:caps w:val="false"/>
          <w:smallCaps w:val="false"/>
          <w:sz w:val="20"/>
        </w:rPr>
        <w:t>75,000 milestone payment was made upon the issuance of patent rights. As of September 30, 2025 and December 31, 2024, accounts payable under this agreement was $</w:t>
      </w:r>
      <w:bookmarkStart w:id="983" w:name="xdx_90C_eus-gaap--AccountsPayableOtherCu"/>
      <w:bookmarkStart w:id="984" w:name="xdx_904_eus-gaap--AccountsPayableOtherCu"/>
      <w:bookmarkEnd w:id="983"/>
      <w:bookmarkEnd w:id="984"/>
      <w:r>
        <w:rPr>
          <w:rFonts w:ascii="Times New Roman;Times;Serif" w:hAnsi="Times New Roman;Times;Serif"/>
          <w:b w:val="false"/>
          <w:i w:val="false"/>
          <w:caps w:val="false"/>
          <w:smallCaps w:val="false"/>
          <w:sz w:val="20"/>
        </w:rPr>
        <w:t>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Trek Therapeutics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24, 2020, ViralClear agreed to pay Trek Therapeutics, PBC, 10% of any consideration received from sublicensing, sale, transfer, or similar transactions. Additionally, ViralClear received rights from Trek involving certain formulas and compounds, with milestone payments of $</w:t>
      </w:r>
      <w:bookmarkStart w:id="985" w:name="xdx_907_eus-gaap--PaymentsForRoyalties_p"/>
      <w:bookmarkEnd w:id="985"/>
      <w:r>
        <w:rPr>
          <w:rFonts w:ascii="Times New Roman;Times;Serif" w:hAnsi="Times New Roman;Times;Serif"/>
          <w:b w:val="false"/>
          <w:i w:val="false"/>
          <w:caps w:val="false"/>
          <w:smallCaps w:val="false"/>
          <w:sz w:val="20"/>
        </w:rPr>
        <w:t>10 million and $</w:t>
      </w:r>
      <w:bookmarkStart w:id="986" w:name="xdx_90B_eus-gaap--PaymentsForRoyalties_p"/>
      <w:bookmarkEnd w:id="986"/>
      <w:r>
        <w:rPr>
          <w:rFonts w:ascii="Times New Roman;Times;Serif" w:hAnsi="Times New Roman;Times;Serif"/>
          <w:b w:val="false"/>
          <w:i w:val="false"/>
          <w:caps w:val="false"/>
          <w:smallCaps w:val="false"/>
          <w:sz w:val="20"/>
        </w:rPr>
        <w:t xml:space="preserve">5 million upon marketing authorization in the first and second countries, respectively, and </w:t>
      </w:r>
      <w:bookmarkStart w:id="987" w:name="xdx_902_ecustom--RoyaltyPercentageOfNetS"/>
      <w:bookmarkEnd w:id="987"/>
      <w:r>
        <w:rPr>
          <w:rFonts w:ascii="Times New Roman;Times;Serif" w:hAnsi="Times New Roman;Times;Serif"/>
          <w:b w:val="false"/>
          <w:i w:val="false"/>
          <w:caps w:val="false"/>
          <w:smallCaps w:val="false"/>
          <w:sz w:val="20"/>
        </w:rPr>
        <w:t>6% royalty payments. As of September 30, 2025 and December 31, 2024, accounts payable under this agreement was $</w:t>
      </w:r>
      <w:bookmarkStart w:id="988" w:name="xdx_909_eus-gaap--AccountsPayableOtherCu"/>
      <w:bookmarkStart w:id="989" w:name="xdx_902_eus-gaap--AccountsPayableOtherCu"/>
      <w:bookmarkEnd w:id="988"/>
      <w:bookmarkEnd w:id="989"/>
      <w:r>
        <w:rPr>
          <w:rFonts w:ascii="Times New Roman;Times;Serif" w:hAnsi="Times New Roman;Times;Serif"/>
          <w:b w:val="false"/>
          <w:i w:val="false"/>
          <w:caps w:val="false"/>
          <w:smallCaps w:val="false"/>
          <w:sz w:val="20"/>
        </w:rPr>
        <w:t>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Tokenized Yield Partnership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Overview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8, 2025, the Company entered into a Tokenized Yield Partnership Agreement (the “Token Agreement”) with Monetary Metals &amp; Co. (“MM”), a Delaware corporation. The Token Agreement establishes an exclusive, multi-year strategic partnership to design, launch, and distribute blockchain-based financial products that tokenize the yield generated from MM’s precious-metal lease and bond programs. The Token Agreement commenced on September 8, 2025 and continues for an initial term of three years, subject to automatic one-year renewal periods unless terminated in accordance with its terms.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September 30, 2025, there was no activity under this arrangement, and no amounts have been recognized in the Company’s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Exclusivity and Performance Conditions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at least three years, MM agreed not to engage with any other party to tokenize the yield or other financial attributes of its precious-metal lease or bond products, and the Company agreed not to partner with any third party to tokenize yield derived from precious-metal leases, in each case subject to specified volume-based performance conditions. To maintain exclusivity, the Company must supply at least 10% of the total leased ounces presented by MM each quarter that meet defined criteria, including minimum insurance standards, a net yield of at least 3% per annum after origination fees, and compliance with restrictions on counterparties and jurisdictions. Failure to meet these thresholds, after a 90-day cure period, results in loss of exclusivity but does not obligate the Company to commit capital or continue participation.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Economic Terms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MM will provide the Company with a discounted fee and quarterly cash rebate on Company gold purchases based on a tiered schedule ranging from </w:t>
      </w:r>
      <w:bookmarkStart w:id="990" w:name="xdx_901_ecustom--DiscountedFeePercentage"/>
      <w:bookmarkEnd w:id="990"/>
      <w:r>
        <w:rPr>
          <w:rFonts w:ascii="Times New Roman;Times;Serif" w:hAnsi="Times New Roman;Times;Serif"/>
          <w:b w:val="false"/>
          <w:i w:val="false"/>
          <w:caps w:val="false"/>
          <w:smallCaps w:val="false"/>
          <w:sz w:val="20"/>
        </w:rPr>
        <w:t xml:space="preserve">0.75% to </w:t>
      </w:r>
      <w:bookmarkStart w:id="991" w:name="xdx_904_ecustom--DiscountedFeePercentage"/>
      <w:bookmarkEnd w:id="991"/>
      <w:r>
        <w:rPr>
          <w:rFonts w:ascii="Times New Roman;Times;Serif" w:hAnsi="Times New Roman;Times;Serif"/>
          <w:b w:val="false"/>
          <w:i w:val="false"/>
          <w:caps w:val="false"/>
          <w:smallCaps w:val="false"/>
          <w:sz w:val="20"/>
        </w:rPr>
        <w:t xml:space="preserve">0.20% of aggregate quarterly purchase volume. MM will also pay the Company a quarterly revenue share on Company-supplied gold deployed in qualifying leases, ranging from </w:t>
      </w:r>
      <w:bookmarkStart w:id="992" w:name="xdx_906_ecustom--RevenueSharePercentage_"/>
      <w:bookmarkEnd w:id="992"/>
      <w:r>
        <w:rPr>
          <w:rFonts w:ascii="Times New Roman;Times;Serif" w:hAnsi="Times New Roman;Times;Serif"/>
          <w:b w:val="false"/>
          <w:i w:val="false"/>
          <w:caps w:val="false"/>
          <w:smallCaps w:val="false"/>
          <w:sz w:val="20"/>
        </w:rPr>
        <w:t xml:space="preserve">0.35% to </w:t>
      </w:r>
      <w:bookmarkStart w:id="993" w:name="xdx_904_ecustom--RevenueSharePercentage_"/>
      <w:bookmarkEnd w:id="993"/>
      <w:r>
        <w:rPr>
          <w:rFonts w:ascii="Times New Roman;Times;Serif" w:hAnsi="Times New Roman;Times;Serif"/>
          <w:b w:val="false"/>
          <w:i w:val="false"/>
          <w:caps w:val="false"/>
          <w:smallCaps w:val="false"/>
          <w:sz w:val="20"/>
        </w:rPr>
        <w:t>0.50%, depending on total kilograms leased. All intellectual property arising from the design and development of tokenized yield products will be owned exclusively by the Company, while MM retains ownership of intellectual property related to its lease and bond products.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Termination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Either party may terminate the Token Agreement for convenience on six months’ notice or for customary breach and insolvency events. Certain exclusivity obligations survive for a minimum of three years.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TriView Capital Ltd.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June 1, 2025, the Company entered into an agreement with TriView Capital Ltd. (“TriView”) to acquire </w:t>
      </w:r>
      <w:bookmarkStart w:id="994" w:name="xdx_902_eus-gaap--EquityMethodInvestment"/>
      <w:bookmarkEnd w:id="994"/>
      <w:r>
        <w:rPr>
          <w:rFonts w:ascii="Times New Roman;Times;Serif" w:hAnsi="Times New Roman;Times;Serif"/>
          <w:b w:val="false"/>
          <w:i w:val="false"/>
          <w:caps w:val="false"/>
          <w:smallCaps w:val="false"/>
          <w:sz w:val="20"/>
        </w:rPr>
        <w:t>9.9% of TriView’s issued and outstanding shares for a total purchase price of CAD $</w:t>
      </w:r>
      <w:bookmarkStart w:id="995" w:name="xdx_903_eus-gaap--PaymentsToAcquireBusin"/>
      <w:bookmarkEnd w:id="995"/>
      <w:r>
        <w:rPr>
          <w:rFonts w:ascii="Times New Roman;Times;Serif" w:hAnsi="Times New Roman;Times;Serif"/>
          <w:b w:val="false"/>
          <w:i w:val="false"/>
          <w:caps w:val="false"/>
          <w:smallCaps w:val="false"/>
          <w:sz w:val="20"/>
        </w:rPr>
        <w:t>198,000 (approximately USD $</w:t>
      </w:r>
      <w:bookmarkStart w:id="996" w:name="xdx_90B_eus-gaap--PaymentsToAcquireBusin"/>
      <w:bookmarkEnd w:id="996"/>
      <w:r>
        <w:rPr>
          <w:rFonts w:ascii="Times New Roman;Times;Serif" w:hAnsi="Times New Roman;Times;Serif"/>
          <w:b w:val="false"/>
          <w:i w:val="false"/>
          <w:caps w:val="false"/>
          <w:smallCaps w:val="false"/>
          <w:sz w:val="20"/>
        </w:rPr>
        <w:t xml:space="preserve">146,843), payable in four equal monthly installments from June through September 2025. The Company completed all installment payments during the quarter ended September 30, 2025 and expects to receive the shares representing its </w:t>
      </w:r>
      <w:bookmarkStart w:id="997" w:name="xdx_902_eus-gaap--EquityMethodInvestment"/>
      <w:bookmarkEnd w:id="997"/>
      <w:r>
        <w:rPr>
          <w:rFonts w:ascii="Times New Roman;Times;Serif" w:hAnsi="Times New Roman;Times;Serif"/>
          <w:b w:val="false"/>
          <w:i w:val="false"/>
          <w:caps w:val="false"/>
          <w:smallCaps w:val="false"/>
          <w:sz w:val="20"/>
        </w:rPr>
        <w:t>9.9% ownership interest.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Under the agreement, the Company also holds an option to acquire the remaining </w:t>
      </w:r>
      <w:bookmarkStart w:id="998" w:name="xdx_90B_eus-gaap--BusinessCombinationSte"/>
      <w:bookmarkEnd w:id="998"/>
      <w:r>
        <w:rPr>
          <w:rFonts w:ascii="Times New Roman;Times;Serif" w:hAnsi="Times New Roman;Times;Serif"/>
          <w:b w:val="false"/>
          <w:i w:val="false"/>
          <w:caps w:val="false"/>
          <w:smallCaps w:val="false"/>
          <w:sz w:val="20"/>
        </w:rPr>
        <w:t>90.1% of TriView’s outstanding shares for CAD $</w:t>
      </w:r>
      <w:bookmarkStart w:id="999" w:name="xdx_90E_eus-gaap--BusinessCombinationSte"/>
      <w:bookmarkEnd w:id="999"/>
      <w:r>
        <w:rPr>
          <w:rFonts w:ascii="Times New Roman;Times;Serif" w:hAnsi="Times New Roman;Times;Serif"/>
          <w:b w:val="false"/>
          <w:i w:val="false"/>
          <w:caps w:val="false"/>
          <w:smallCaps w:val="false"/>
          <w:sz w:val="20"/>
        </w:rPr>
        <w:t>1.8 million (approximately USD $</w:t>
      </w:r>
      <w:bookmarkStart w:id="1000" w:name="xdx_908_eus-gaap--BusinessCombinationSte"/>
      <w:bookmarkEnd w:id="1000"/>
      <w:r>
        <w:rPr>
          <w:rFonts w:ascii="Times New Roman;Times;Serif" w:hAnsi="Times New Roman;Times;Serif"/>
          <w:b w:val="false"/>
          <w:i w:val="false"/>
          <w:caps w:val="false"/>
          <w:smallCaps w:val="false"/>
          <w:sz w:val="20"/>
        </w:rPr>
        <w:t>1.3 million) at any time prior to December 12, 2025. This option has not been exercised as of September 30, 2025 and is disclosed as a commitment. TriView retains the right to cancel the agreement prior to issuance of shares, in which case amounts paid would be refunded; management believes the likelihood of cancellation is remote.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Note 15 – Investment in TriView Capital Ltd. for additional details.</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22</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STREAMEX CORP.</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THE CONDENSED CONSOLIDATED FINANCIAL STATEMENTS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SEPTEMBER 30, 2025 </w:t>
      </w:r>
      <w:r>
        <w:rPr>
          <w:rFonts w:ascii="Times New Roman;Times;Serif" w:hAnsi="Times New Roman;Times;Serif"/>
          <w:b/>
          <w:i/>
          <w:caps w:val="false"/>
          <w:smallCaps w:val="false"/>
          <w:sz w:val="20"/>
        </w:rPr>
        <w:t>(</w:t>
      </w:r>
      <w:r>
        <w:rPr>
          <w:rFonts w:ascii="Times New Roman;Times;Serif" w:hAnsi="Times New Roman;Times;Serif"/>
          <w:b/>
          <w:i w:val="false"/>
          <w:caps w:val="false"/>
          <w:smallCaps w:val="false"/>
          <w:sz w:val="20"/>
        </w:rPr>
        <w:t>Unaudited</w:t>
      </w:r>
      <w:r>
        <w:rPr>
          <w:rFonts w:ascii="Times New Roman;Times;Serif" w:hAnsi="Times New Roman;Times;Serif"/>
          <w:b/>
          <w:i/>
          <w:caps w:val="false"/>
          <w:smallCaps w:val="false"/>
          <w:sz w:val="20"/>
        </w:rPr>
        <w: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Senior Secured Convertible Debenture and Equity Agreements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7, 2025, the Company entered into a secured convertible debenture purchase agreement with YA II PN, LTD., a Cayman Islands exempt limited company (“Yorkville”), pursuant to which Yorkville will purchase senior secured convertible debentures in the aggregate principal amount of USD$</w:t>
      </w:r>
      <w:bookmarkStart w:id="1001" w:name="xdx_90D_eus-gaap--DebtInstrumentFaceAmou"/>
      <w:bookmarkEnd w:id="1001"/>
      <w:r>
        <w:rPr>
          <w:rFonts w:ascii="Times New Roman;Times;Serif" w:hAnsi="Times New Roman;Times;Serif"/>
          <w:b w:val="false"/>
          <w:i w:val="false"/>
          <w:caps w:val="false"/>
          <w:smallCaps w:val="false"/>
          <w:sz w:val="20"/>
        </w:rPr>
        <w:t>100,000,000 (the “Convertible Debentures”), which will be convertible into shares of the Company’s common stock, par value $</w:t>
      </w:r>
      <w:bookmarkStart w:id="1002" w:name="xdx_908_eus-gaap--CommonStockParOrStated"/>
      <w:bookmarkEnd w:id="1002"/>
      <w:r>
        <w:rPr>
          <w:rFonts w:ascii="Times New Roman;Times;Serif" w:hAnsi="Times New Roman;Times;Serif"/>
          <w:b w:val="false"/>
          <w:i w:val="false"/>
          <w:caps w:val="false"/>
          <w:smallCaps w:val="false"/>
          <w:sz w:val="20"/>
        </w:rPr>
        <w:t>0.001 per share. On August 13, 2025, the Company amended the agreement to revise the structure of the transaction.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amended terms, Yorkville will purchase two secured convertible debentures: one in the principal amount of $</w:t>
      </w:r>
      <w:bookmarkStart w:id="1003" w:name="xdx_909_eus-gaap--DebtInstrumentFaceAmou"/>
      <w:bookmarkEnd w:id="1003"/>
      <w:r>
        <w:rPr>
          <w:rFonts w:ascii="Times New Roman;Times;Serif" w:hAnsi="Times New Roman;Times;Serif"/>
          <w:b w:val="false"/>
          <w:i w:val="false"/>
          <w:caps w:val="false"/>
          <w:smallCaps w:val="false"/>
          <w:sz w:val="20"/>
        </w:rPr>
        <w:t>25 million and another in the principal amount of $</w:t>
      </w:r>
      <w:bookmarkStart w:id="1004" w:name="xdx_90C_eus-gaap--DebtInstrumentFaceAmou"/>
      <w:bookmarkEnd w:id="1004"/>
      <w:r>
        <w:rPr>
          <w:rFonts w:ascii="Times New Roman;Times;Serif" w:hAnsi="Times New Roman;Times;Serif"/>
          <w:b w:val="false"/>
          <w:i w:val="false"/>
          <w:caps w:val="false"/>
          <w:smallCaps w:val="false"/>
          <w:sz w:val="20"/>
        </w:rPr>
        <w:t>25 million. Additional secured convertible debentures totaling up to $</w:t>
      </w:r>
      <w:bookmarkStart w:id="1005" w:name="xdx_90F_eus-gaap--ConvertibleDebt_iI_pn6"/>
      <w:bookmarkEnd w:id="1005"/>
      <w:r>
        <w:rPr>
          <w:rFonts w:ascii="Times New Roman;Times;Serif" w:hAnsi="Times New Roman;Times;Serif"/>
          <w:b w:val="false"/>
          <w:i w:val="false"/>
          <w:caps w:val="false"/>
          <w:smallCaps w:val="false"/>
          <w:sz w:val="20"/>
        </w:rPr>
        <w:t xml:space="preserve">50 million may be issued upon mutual agreement of the parties, at their sole discretion. </w:t>
      </w:r>
      <w:bookmarkStart w:id="1006" w:name="xdx_902_eus-gaap--DebtInstrumentConverti"/>
      <w:bookmarkEnd w:id="1006"/>
      <w:r>
        <w:rPr>
          <w:rFonts w:ascii="Times New Roman;Times;Serif" w:hAnsi="Times New Roman;Times;Serif"/>
          <w:b w:val="false"/>
          <w:i w:val="false"/>
          <w:caps w:val="false"/>
          <w:smallCaps w:val="false"/>
          <w:sz w:val="20"/>
        </w:rPr>
        <w:t>The purchase price for each debenture remains 96% of its face value. The Convertible Debentures are convertible into shares of the Company’s common stock, subject to shareholder approval and customary closing conditions. The amendment also sets a floor price for conversions at 20% of the Nasdaq Official Closing Price immediately prior to the original agreement date.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Yorkville’s obligation to purchase is limited to the initial $</w:t>
      </w:r>
      <w:bookmarkStart w:id="1007" w:name="xdx_90A_eus-gaap--LineOfCreditFacilityCu"/>
      <w:bookmarkEnd w:id="1007"/>
      <w:r>
        <w:rPr>
          <w:rFonts w:ascii="Times New Roman;Times;Serif" w:hAnsi="Times New Roman;Times;Serif"/>
          <w:b w:val="false"/>
          <w:i w:val="false"/>
          <w:caps w:val="false"/>
          <w:smallCaps w:val="false"/>
          <w:sz w:val="20"/>
        </w:rPr>
        <w:t>50 million (two closings) upon satisfaction of closing conditions. Additional issuances beyond the initial $</w:t>
      </w:r>
      <w:bookmarkStart w:id="1008" w:name="xdx_903_eus-gaap--LineOfCreditFacilityMa"/>
      <w:bookmarkEnd w:id="1008"/>
      <w:r>
        <w:rPr>
          <w:rFonts w:ascii="Times New Roman;Times;Serif" w:hAnsi="Times New Roman;Times;Serif"/>
          <w:b w:val="false"/>
          <w:i w:val="false"/>
          <w:caps w:val="false"/>
          <w:smallCaps w:val="false"/>
          <w:sz w:val="20"/>
        </w:rPr>
        <w:t>50 million are discretionary and require mutual consent. The agreement does not contain a specified termination date; however, it remains in effect until all obligations are satisfied or terminated by mutual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Standby Equity Purchase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7, 2025, the Company entered into a Standby Equity Purchase Agreement (“SEPA”) with Yorkville. Under the SEPA, the Company has the right, but not the obligation, to issue and sell to Yorkville up to $</w:t>
      </w:r>
      <w:bookmarkStart w:id="1009" w:name="xdx_906_eus-gaap--EquityMethodInvestment"/>
      <w:bookmarkEnd w:id="1009"/>
      <w:r>
        <w:rPr>
          <w:rFonts w:ascii="Times New Roman;Times;Serif" w:hAnsi="Times New Roman;Times;Serif"/>
          <w:b w:val="false"/>
          <w:i w:val="false"/>
          <w:caps w:val="false"/>
          <w:smallCaps w:val="false"/>
          <w:sz w:val="20"/>
        </w:rPr>
        <w:t>1,000,000,000 of its Common Stock, from time to time during a 36-month commitment period, subject to certain terms, limitations, and conditions.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controls the timing and amount of any sales of Common Stock to the Yorkville under the SEPA at its discretion. The Company may deliver an advance notice (“Advance Notice”) to Yorkville specifying the number of shares it elects to sell, but may not deliver an Advance Notice until any issued Convertible Debenture(s) has been repaid and/or converted in full, except with Yorkville’s prior written consent. </w:t>
      </w:r>
      <w:bookmarkStart w:id="1010" w:name="xdx_90F_eus-gaap--DebtInstrumentDescript"/>
      <w:bookmarkEnd w:id="1010"/>
      <w:r>
        <w:rPr>
          <w:rFonts w:ascii="Times New Roman;Times;Serif" w:hAnsi="Times New Roman;Times;Serif"/>
          <w:b w:val="false"/>
          <w:i w:val="false"/>
          <w:caps w:val="false"/>
          <w:smallCaps w:val="false"/>
          <w:sz w:val="20"/>
        </w:rPr>
        <w:t>Each Advance Notice will be priced at 97% of the lowest VWAP of the Common Stock during the three consecutive trading days commencing on the date the Advance Notice is received by Yorkville, subject to certain adjustments if the daily VWAP is below a minimum acceptable price specified by the Company. No Advance Notice may cause Yorkville’s beneficial ownership to exceed </w:t>
      </w:r>
      <w:bookmarkStart w:id="1011" w:name="xdx_907_eus-gaap--EquityMethodInvestment"/>
      <w:bookmarkEnd w:id="1011"/>
      <w:r>
        <w:rPr>
          <w:rFonts w:ascii="Times New Roman;Times;Serif" w:hAnsi="Times New Roman;Times;Serif"/>
          <w:b w:val="false"/>
          <w:i w:val="false"/>
          <w:caps w:val="false"/>
          <w:smallCaps w:val="false"/>
          <w:sz w:val="20"/>
        </w:rPr>
        <w:t xml:space="preserve">4.99% of the Company’s outstanding Common Stock. The Company may not deliver Advance Notices that would cause the aggregate number of shares issued under the SEPA to exceed the Exchange Cap (representing </w:t>
      </w:r>
      <w:bookmarkStart w:id="1012" w:name="xdx_904_eus-gaap--EquityMethodInvestment"/>
      <w:bookmarkEnd w:id="1012"/>
      <w:r>
        <w:rPr>
          <w:rFonts w:ascii="Times New Roman;Times;Serif" w:hAnsi="Times New Roman;Times;Serif"/>
          <w:b w:val="false"/>
          <w:i w:val="false"/>
          <w:caps w:val="false"/>
          <w:smallCaps w:val="false"/>
          <w:sz w:val="20"/>
        </w:rPr>
        <w:t>19.99% of the Common Stock outstanding as of the effective date of the SEPA), unless (a) approval of the Company’s stockholders is obtained or (b) the average price of all sales of Common Stock under the SEPA equals or exceeds $</w:t>
      </w:r>
      <w:bookmarkStart w:id="1013" w:name="xdx_905_eus-gaap--SaleOfStockPricePerSha"/>
      <w:bookmarkEnd w:id="1013"/>
      <w:r>
        <w:rPr>
          <w:rFonts w:ascii="Times New Roman;Times;Serif" w:hAnsi="Times New Roman;Times;Serif"/>
          <w:b w:val="false"/>
          <w:i w:val="false"/>
          <w:caps w:val="false"/>
          <w:smallCaps w:val="false"/>
          <w:sz w:val="20"/>
        </w:rPr>
        <w:t>9.414, as defined in the agreement.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required file a registration statement with the SEC to register for resale the Common Stock issuable under the SEPA and is required agree to maintain its effectiveness during the term of the SEPA. Yorkville’s obligation to purchase Common Stock under the SEPA is subject to customary closing conditions, including the effectiveness of the registration statement.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consideration for Yorkville’s commitment under the SEPA, the </w:t>
      </w:r>
      <w:bookmarkStart w:id="1014" w:name="xdx_902_eus-gaap--OtherCommitmentsDescri"/>
      <w:bookmarkEnd w:id="1014"/>
      <w:r>
        <w:rPr>
          <w:rFonts w:ascii="Times New Roman;Times;Serif" w:hAnsi="Times New Roman;Times;Serif"/>
          <w:b w:val="false"/>
          <w:i w:val="false"/>
          <w:caps w:val="false"/>
          <w:smallCaps w:val="false"/>
          <w:sz w:val="20"/>
        </w:rPr>
        <w:t>Company agreed to pay a commitment fee equal to 1.0% of the commitment amount, with the initial payment due concurrently with the first closing of a sale under the SEPA, and the balance payable in equal quarterly installments within fifteen days after the end of the applicable calendar quarter, in either cash or shares of Common Stock, at Yorkville’s discretion.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SEPA contains customary representations, warranties, covenants, conditions, and indemnification obligations of the parties. The SEPA will terminate automatically on the earliest of (i) 36 months after the date of execution, or (ii) the date Yorkville has purchased the full commitment amount of Common Stock. The Company may also terminate the SEPA at any time without fee or penalty upon five business days’ written notice to Yorkville, provided there are no pending Advance Notices.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Both agreements are subject to customary closing conditions, including stockholder approval and, in the case of the SEPA, the effectiveness of a registration statement. The Company may not access proceeds under the SEPA until any issued debentures have been repaid or converted, unless waived by Yorkville.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Equity Line of Credit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28, 2025 (the “Effective Date”), the Company entered into a Equity Subscription Agreement (the “Subscription Agreement”) with Lind Global Fund III, LP (the “Investor”). Pursuant to the Subscription Agreement, the Company has the right, but not the obligation, to sell to the Investor from time to time (each such occurrence, an “Advance”) up to $</w:t>
      </w:r>
      <w:bookmarkStart w:id="1015" w:name="xdx_90D_eus-gaap--OtherCommitment_iI_pn5"/>
      <w:bookmarkEnd w:id="1015"/>
      <w:r>
        <w:rPr>
          <w:rFonts w:ascii="Times New Roman;Times;Serif" w:hAnsi="Times New Roman;Times;Serif"/>
          <w:b w:val="false"/>
          <w:i w:val="false"/>
          <w:caps w:val="false"/>
          <w:smallCaps w:val="false"/>
          <w:sz w:val="20"/>
        </w:rPr>
        <w:t>5.0 million (the “Commitment Amount”) of the Company’s common stock, $</w:t>
      </w:r>
      <w:bookmarkStart w:id="1016" w:name="xdx_90A_eus-gaap--CommonStockParOrStated"/>
      <w:bookmarkEnd w:id="1016"/>
      <w:r>
        <w:rPr>
          <w:rFonts w:ascii="Times New Roman;Times;Serif" w:hAnsi="Times New Roman;Times;Serif"/>
          <w:b w:val="false"/>
          <w:i w:val="false"/>
          <w:caps w:val="false"/>
          <w:smallCaps w:val="false"/>
          <w:sz w:val="20"/>
        </w:rPr>
        <w:t xml:space="preserve">0.001 par value per share (“Common Stock”), during the 36 months following the execution of the Subscription Agreement, subject to (a) an overall cap of </w:t>
      </w:r>
      <w:bookmarkStart w:id="1017" w:name="xdx_90A_eus-gaap--StockIssuedDuringPerio"/>
      <w:bookmarkEnd w:id="1017"/>
      <w:r>
        <w:rPr>
          <w:rFonts w:ascii="Times New Roman;Times;Serif" w:hAnsi="Times New Roman;Times;Serif"/>
          <w:b w:val="false"/>
          <w:i w:val="false"/>
          <w:caps w:val="false"/>
          <w:smallCaps w:val="false"/>
          <w:sz w:val="20"/>
        </w:rPr>
        <w:t xml:space="preserve">10,000,000 shares and (b) the restrictions and satisfaction of the conditions set forth in the Subscription Agreement. The Company is under no obligation to sell any of its Common Stock to the Investor under the Subscription Agreement. At the Company’s option, the shares of Common Stock would be purchased by the Investor from time to time at a price (the “Market Price”) equal to 95% of the lowest of the daily VWAPs (as hereinafter defined) during a five (or such other period as the Company and the Investor may agree) consecutive trading day period commencing on the date that the Company delivers a notice to the Investor (an “Advance Notice”) that the Company is requiring the Investor to purchase a specified number of shares of Common Stock (the “Advance Shares”). The Company may also specify a minimum acceptable price per share in each Advance. “VWAP” means, for any trading day, the daily volume weighted average price of the Company’s Common Stock for such trading day on the Nasdaq Stock Market as reported by Bloomberg L.P. </w:t>
      </w:r>
      <w:bookmarkStart w:id="1018" w:name="xdx_90C_ecustom--InvestorPurchaseOfShare"/>
      <w:bookmarkEnd w:id="1018"/>
      <w:r>
        <w:rPr>
          <w:rFonts w:ascii="Times New Roman;Times;Serif" w:hAnsi="Times New Roman;Times;Serif"/>
          <w:b w:val="false"/>
          <w:i w:val="false"/>
          <w:caps w:val="false"/>
          <w:smallCaps w:val="false"/>
          <w:sz w:val="20"/>
        </w:rPr>
        <w:t>The maximum number of shares of Common Stock that the Company may require the Investor to purchase in any Advance is an number equal to 66.667% of the average daily volume of the Common Stock on the Nasdaq Stock Market during the five consecutive trading days immediately preceding the date of the Advance Notice; provided that notwithstanding the foregoing limitation, in any period of 30 consecutive days, the total number of Advance Shares that the Company may sell to the Investor may be up to 0.5% of the quotient of the number of shares of Common Stock outstanding on the date of the Advance divided by the Market Price determined for such Advance.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consideration for the Investor’s irrevocable commitment (subject to the conditions set forth in the Subscription Agreement) to purchase the Company’s Common Stock up to the Commitment Amount, the Company issued </w:t>
      </w:r>
      <w:bookmarkStart w:id="1019" w:name="xdx_90D_ecustom--PurchaseOfCommonStockSh"/>
      <w:bookmarkEnd w:id="1019"/>
      <w:r>
        <w:rPr>
          <w:rFonts w:ascii="Times New Roman;Times;Serif" w:hAnsi="Times New Roman;Times;Serif"/>
          <w:b w:val="false"/>
          <w:i w:val="false"/>
          <w:caps w:val="false"/>
          <w:smallCaps w:val="false"/>
          <w:sz w:val="20"/>
        </w:rPr>
        <w:t>108,542 shares of Common Stock (the “Commitment Shares”) to the Investor with a grant date fair value of $</w:t>
      </w:r>
      <w:bookmarkStart w:id="1020" w:name="xdx_902_eus-gaap--Investments_iI_c202502"/>
      <w:bookmarkEnd w:id="1020"/>
      <w:r>
        <w:rPr>
          <w:rFonts w:ascii="Times New Roman;Times;Serif" w:hAnsi="Times New Roman;Times;Serif"/>
          <w:b w:val="false"/>
          <w:i w:val="false"/>
          <w:caps w:val="false"/>
          <w:smallCaps w:val="false"/>
          <w:sz w:val="20"/>
        </w:rPr>
        <w:t>100,000. The Company had previously advanced to the Investor $</w:t>
      </w:r>
      <w:bookmarkStart w:id="1021" w:name="xdx_904_ecustom--AdvancedToInvestor_c202"/>
      <w:bookmarkEnd w:id="1021"/>
      <w:r>
        <w:rPr>
          <w:rFonts w:ascii="Times New Roman;Times;Serif" w:hAnsi="Times New Roman;Times;Serif"/>
          <w:b w:val="false"/>
          <w:i w:val="false"/>
          <w:caps w:val="false"/>
          <w:smallCaps w:val="false"/>
          <w:sz w:val="20"/>
        </w:rPr>
        <w:t>10,000 to cover certain expenses related to the Subscription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Investor’s obligation to purchase the Company’s shares of Common Stock pursuant to the Subscription Agreement is subject to a number of conditions, including that the Company file a registration statement on Form S-1 or Form S-3 (the “Registration Statement”) with the Securities and Exchange Commission (the “SEC”), registering the issuance and sale of the Commitment Shares and the Advance Shares to be issued and sold pursuant to an Advance under the Securities Act of 1933, as amended (the “Securities Act”), and that the Registration Statement be declared effective by the SEC. The Company has not filed a registration statement on a Form S-1 or Form S-3 as of September 30, 2025.</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23</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STREAMEX CORP.</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THE CONDENSED CONSOLIDATED FINANCIAL STATEMENTS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SEPTEMBER 30, 2025 </w:t>
      </w:r>
      <w:r>
        <w:rPr>
          <w:rFonts w:ascii="Times New Roman;Times;Serif" w:hAnsi="Times New Roman;Times;Serif"/>
          <w:b/>
          <w:i/>
          <w:caps w:val="false"/>
          <w:smallCaps w:val="false"/>
          <w:sz w:val="20"/>
        </w:rPr>
        <w:t>(</w:t>
      </w:r>
      <w:r>
        <w:rPr>
          <w:rFonts w:ascii="Times New Roman;Times;Serif" w:hAnsi="Times New Roman;Times;Serif"/>
          <w:b/>
          <w:i w:val="false"/>
          <w:caps w:val="false"/>
          <w:smallCaps w:val="false"/>
          <w:sz w:val="20"/>
        </w:rPr>
        <w:t>Unaudited</w:t>
      </w:r>
      <w:r>
        <w:rPr>
          <w:rFonts w:ascii="Times New Roman;Times;Serif" w:hAnsi="Times New Roman;Times;Serif"/>
          <w:b/>
          <w:i/>
          <w:caps w:val="false"/>
          <w:smallCaps w:val="false"/>
          <w:sz w:val="20"/>
        </w:rPr>
        <w: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Finder Agreements Related to Streamex Exchange Transaction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27, 2025, the Company and Streamex Exchange entered into separate Finder Agreements with three unaffiliated third parties (each, a “Finder”) in connection with the transactions contemplated by the Share Purchase Agreement dated May 23, 2025, among the Company, Streamex Exchange, and related parties.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Under the terms of the Finder Agreements, the Finders facilitated introductions between Streamex Exchange and Company management. As compensation for these introductory services, the Company agreed to issue to the Finders, in aggregate, shares of its common stock representing </w:t>
      </w:r>
      <w:bookmarkStart w:id="1022" w:name="xdx_908_eus-gaap--SaleOfStockPercentageO"/>
      <w:bookmarkEnd w:id="1022"/>
      <w:r>
        <w:rPr>
          <w:rFonts w:ascii="Times New Roman;Times;Serif" w:hAnsi="Times New Roman;Times;Serif"/>
          <w:b w:val="false"/>
          <w:i w:val="false"/>
          <w:caps w:val="false"/>
          <w:smallCaps w:val="false"/>
          <w:sz w:val="20"/>
        </w:rPr>
        <w:t>3.75% of the Company’s outstanding shares immediately prior to the closing of the Share Purchase Agreement (the “Closing”). The shares are to be issued no later than two business days following shareholder approval of certain matters set forth in the Share Purchase Agreement (the “Parent Stockholder Matters”).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Streamex transaction successfully closed on May 28, 2025. Although the issuance of shares to the Finders remains contingent upon shareholder approval of the Parent Stockholder Matters, the Company determined that the obligation to compensate the Finders was probable upon the Closing. Accordingly, the Company recognized expense and recorded an accrual of approximately $</w:t>
      </w:r>
      <w:bookmarkStart w:id="1023" w:name="xdx_902_eus-gaap--StockIssuedDuringPerio"/>
      <w:bookmarkEnd w:id="1023"/>
      <w:r>
        <w:rPr>
          <w:rFonts w:ascii="Times New Roman;Times;Serif" w:hAnsi="Times New Roman;Times;Serif"/>
          <w:b w:val="false"/>
          <w:i w:val="false"/>
          <w:caps w:val="false"/>
          <w:smallCaps w:val="false"/>
          <w:sz w:val="20"/>
        </w:rPr>
        <w:t>6,025,880 in connection with the Finder Agreements during the nine months ended September 30, 2025. The expense is reflected in general and administrative expenses in the unaudited condensed consolidated statements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4, 2025, the Company obtained shareholder approval of the Parent Stockholder Matters. As a result, the share issuance obligation under the Finder Agreements became effective, and the Company expects to issue the shares in accordance with the terms of the agreements.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Letter of Intent with Simplify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14, 2025, the Company entered into a non-binding Letter of Intent with Simplify Asset Management Inc. to explore a potential strategic partnership focused on developing tokenized exchange-traded products (ETPs) and ETFs incorporating Streamex’s Gold Yield Token. The LOI outlines preliminary terms for product co-development, revenue sharing, and regulatory cooperation; however, it does not create any binding obligation to consummate a transaction. The LOI includes customary confidentiality and other provisions and will expire 90 days from execution unless extended by mutual agreement. There can be no assurance that definitive agreements will be executed or that any transaction will occur.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Share Purchase Agreement with Streamex Exchange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May 23, 2025, the Company entered into a Share Purchase Agreement with Streamex Exchange Corporation and related parties. The transaction closed on May 28, 2025, at which time the Company, through a wholly owned subsidiary, acquired all issued and outstanding shares of Streamex Exchange in exchange for </w:t>
      </w:r>
      <w:bookmarkStart w:id="1024" w:name="xdx_90B_eus-gaap--SaleOfStockNumberOfSha"/>
      <w:bookmarkEnd w:id="1024"/>
      <w:r>
        <w:rPr>
          <w:rFonts w:ascii="Times New Roman;Times;Serif" w:hAnsi="Times New Roman;Times;Serif"/>
          <w:b w:val="false"/>
          <w:i w:val="false"/>
          <w:caps w:val="false"/>
          <w:smallCaps w:val="false"/>
          <w:sz w:val="20"/>
        </w:rPr>
        <w:t>109,070,079 Exchangeable Shares. These Exchangeable Shares are convertible into shares of the Company’s common stock on a one-for-one basis, subject to certain conditions and shareholder approvals.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Nasdaq listing rules, the Exchangeable Shares are initially limited to 19.9% of the Company’s pre-transaction common stock outstanding. The Company is seeking shareholder approval of certain matters outlined in the Share Purchase Agreement (the “Parent Stockholder Matters”), which would authorize sufficient common stock and remove the conversion cap. Upon approval, Streamex Exchange shareholders would be entitled to convert their Exchangeable Shares into the Company’s common stock up to a total of 75% of the Company’s fully diluted common stock. No additional shares are issued—rather, the approval enables full conversion of shares already held. If such approval is not obtained by November 28, 2025, the exchange ratio will adjust from 1.0 to 1.25, increasing the number of common stock issuable upon conversion of each Exchangeable Share.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September 30, 2025, shareholder approval of the Parent Stockholder Matters had not been obtained, and the Exchangeable Shares remain subject to the initial conversion limitations. On November 4, 2025 the Company received shareholder approval. As a result, the conversion cap was removed, and Streamex Exchange shareholders may now convert their Exchangeable Shares into the Company’s common stock. Concurrently, the derivative liability associated with the Exchangeable Shares was reclassified to permanent equity.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Litigation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22, 2024, the Company received a threat of litigation seeking restitution for losses resulting from alleged unlawful actions taken by the Company and its board of directors. The claimant contends that he and others have sustained losses totaling approximately $</w:t>
      </w:r>
      <w:bookmarkStart w:id="1025" w:name="xdx_904_eus-gaap--GainLossRelatedToLitig"/>
      <w:bookmarkEnd w:id="1025"/>
      <w:r>
        <w:rPr>
          <w:rFonts w:ascii="Times New Roman;Times;Serif" w:hAnsi="Times New Roman;Times;Serif"/>
          <w:b w:val="false"/>
          <w:i w:val="false"/>
          <w:caps w:val="false"/>
          <w:smallCaps w:val="false"/>
          <w:sz w:val="20"/>
        </w:rPr>
        <w:t>1,440,000. On March 22, 2024, September 3, 2024, September 27, 2024 and December 6, 2024, the claimant sent additional letters to the Company referencing the previous letters and requesting several documents. On September 19, 2024, the Company sent the claimant a cease and desist and litigation hold notice which threatened legal action against the claimant if the conduct continued. On March 24, 2025, the Company entered into a settlement agreement with the claimant and accrued $</w:t>
      </w:r>
      <w:bookmarkStart w:id="1026" w:name="xdx_90C_ecustom--PaymentsForAccrued_c202"/>
      <w:bookmarkEnd w:id="1026"/>
      <w:r>
        <w:rPr>
          <w:rFonts w:ascii="Times New Roman;Times;Serif" w:hAnsi="Times New Roman;Times;Serif"/>
          <w:b w:val="false"/>
          <w:i w:val="false"/>
          <w:caps w:val="false"/>
          <w:smallCaps w:val="false"/>
          <w:sz w:val="20"/>
        </w:rPr>
        <w:t>0 and $</w:t>
      </w:r>
      <w:bookmarkStart w:id="1027" w:name="xdx_905_ecustom--PaymentsForAccrued_c202"/>
      <w:bookmarkEnd w:id="1027"/>
      <w:r>
        <w:rPr>
          <w:rFonts w:ascii="Times New Roman;Times;Serif" w:hAnsi="Times New Roman;Times;Serif"/>
          <w:b w:val="false"/>
          <w:i w:val="false"/>
          <w:caps w:val="false"/>
          <w:smallCaps w:val="false"/>
          <w:sz w:val="20"/>
        </w:rPr>
        <w:t>494,000 as of September 30, 2025 and December 31, 2024, respectively. The settlement was paid on April 24,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be subject at times to other legal proceedings and claims, which arise in the ordinary course of its business. Although occasional adverse decisions or settlements may occur, the Company believes that the final disposition of such matters should not have a material adverse effect on its financial position, results of operations or liquidity.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Stock-based compensation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takes some tax positions, including the reporting of stock-based compensation, that may not be accepted by the Internal Revenue Service upon an examination, and we may be subject to penalties for underreporting of recipient’s income. The result of any such examination is uncertain, and any such penalties could be material to our financial position and results of operations given our current limited cash and revenues.</w:t>
      </w:r>
    </w:p>
    <w:p>
      <w:pPr>
        <w:pStyle w:val="TextBody"/>
        <w:bidi w:val="0"/>
        <w:spacing w:before="0" w:after="0"/>
        <w:ind w:left="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24</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STREAMEX CORP.</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THE CONDENSED CONSOLIDATED FINANCIAL STATEMENTS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SEPTEMBER 30, 2025 </w:t>
      </w:r>
      <w:r>
        <w:rPr>
          <w:rFonts w:ascii="Times New Roman;Times;Serif" w:hAnsi="Times New Roman;Times;Serif"/>
          <w:b/>
          <w:i/>
          <w:caps w:val="false"/>
          <w:smallCaps w:val="false"/>
          <w:sz w:val="20"/>
        </w:rPr>
        <w:t>(</w:t>
      </w:r>
      <w:r>
        <w:rPr>
          <w:rFonts w:ascii="Times New Roman;Times;Serif" w:hAnsi="Times New Roman;Times;Serif"/>
          <w:b/>
          <w:i w:val="false"/>
          <w:caps w:val="false"/>
          <w:smallCaps w:val="false"/>
          <w:sz w:val="20"/>
        </w:rPr>
        <w:t>Unaudited</w:t>
      </w:r>
      <w:r>
        <w:rPr>
          <w:rFonts w:ascii="Times New Roman;Times;Serif" w:hAnsi="Times New Roman;Times;Serif"/>
          <w:b/>
          <w:i/>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028" w:name="xdx_806_eus-gaap--BusinessCombinationDis"/>
      <w:bookmarkEnd w:id="1028"/>
      <w:r>
        <w:rPr>
          <w:rFonts w:ascii="Times New Roman;Times;Serif" w:hAnsi="Times New Roman;Times;Serif"/>
          <w:b/>
          <w:i w:val="false"/>
          <w:caps w:val="false"/>
          <w:smallCaps w:val="false"/>
          <w:sz w:val="20"/>
        </w:rPr>
        <w:t xml:space="preserve">NOTE 13 – </w:t>
      </w:r>
      <w:bookmarkStart w:id="1029" w:name="xdx_82B_z1lrj2IAC0r3"/>
      <w:bookmarkEnd w:id="1029"/>
      <w:r>
        <w:rPr>
          <w:rFonts w:ascii="Times New Roman;Times;Serif" w:hAnsi="Times New Roman;Times;Serif"/>
          <w:b/>
          <w:i w:val="false"/>
          <w:caps w:val="false"/>
          <w:smallCaps w:val="false"/>
          <w:sz w:val="20"/>
        </w:rPr>
        <w:t>BUSINESS ACQUISITION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Streamex Exchange Corporation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Transaction Overview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w:t>
      </w:r>
      <w:bookmarkStart w:id="1030" w:name="xdx_906_eus-gaap--BusinessAcquisitionDat"/>
      <w:bookmarkEnd w:id="1030"/>
      <w:r>
        <w:rPr>
          <w:rFonts w:ascii="Times New Roman;Times;Serif" w:hAnsi="Times New Roman;Times;Serif"/>
          <w:b w:val="false"/>
          <w:i w:val="false"/>
          <w:caps w:val="false"/>
          <w:smallCaps w:val="false"/>
          <w:sz w:val="20"/>
        </w:rPr>
        <w:t>May 28, 2025, the Company completed the acquisition of Streamex Exchange, a software development company based in Vancouver, British Columbia, specializing in digital tools for commodity trading and finance.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acquisition was effected pursuant to a Share Purchase Agreement dated May 23, 2025, as amended on May 27, 2025 (collectively, the “Agreement”), by and among the Company, its wholly-owned subsidiaries ExchangeCo and Callco, the Stream Exchange Shareholders, and 1540873 B.C. Ltd., as trustee under the Exchange Rights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Under the terms of the Agreement, ExchangeCo acquired all of the issued and outstanding shares of Streamex Exchange (the “Purchased Shares”) in exchange for </w:t>
      </w:r>
      <w:bookmarkStart w:id="1031" w:name="xdx_90D_eus-gaap--SaleOfStockNumberOfSha"/>
      <w:bookmarkEnd w:id="1031"/>
      <w:r>
        <w:rPr>
          <w:rFonts w:ascii="Times New Roman;Times;Serif" w:hAnsi="Times New Roman;Times;Serif"/>
          <w:b w:val="false"/>
          <w:i w:val="false"/>
          <w:caps w:val="false"/>
          <w:smallCaps w:val="false"/>
          <w:sz w:val="20"/>
        </w:rPr>
        <w:t xml:space="preserve">109,070,079 Exchangeable Shares of ExchangeCo, issued at a ratio of </w:t>
      </w:r>
      <w:bookmarkStart w:id="1032" w:name="xdx_901_eus-gaap--SaleOfStockPricePerSha"/>
      <w:bookmarkEnd w:id="1032"/>
      <w:r>
        <w:rPr>
          <w:rFonts w:ascii="Times New Roman;Times;Serif" w:hAnsi="Times New Roman;Times;Serif"/>
          <w:b w:val="false"/>
          <w:i w:val="false"/>
          <w:caps w:val="false"/>
          <w:smallCaps w:val="false"/>
          <w:sz w:val="20"/>
        </w:rPr>
        <w:t>2.046862 Exchangeable Shares per Purchased Share. The Exchangeable Shares are exchangeable on a one-for-one basis for shares of the Company’s common stock, subject to certain adjustments and conditions described below.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purpose of the Acquisition is to enhance shareholder value by combining with a privately held operating company and positioning the combined entity for future growth with expansion into digital commodity trading and blockchain-based financial technologies. The acquisition is expected to enhance the Company’s product offerings, accelerate blockchain integration, and provide access to Streamex Exchange engineering talent and regulatory infrastructure.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Shareholder Approval and Contingent Features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Initially, the Exchangeable Shares are not exchangeable into more than 19.99% of the Company’s outstanding common stock on a pre-transaction basis, in accordance with Nasdaq listing rules. Following the closing, the Company intended to seek stockholder approval to the following:</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91"/>
        <w:gridCol w:w="9939"/>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3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Approve the issuance of our shares of common stock exchangeable for Exchangeable Shares and one share of Special Voting Preferred Stock in connection with the Agreement.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3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Approve the issuance of shares of our common stock underlying the Convertible Debentures to Yorkville.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3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Approve the increase in the total number of shares of our common stock authorized for issuance under our 2023 Long-Term Incentive Plan by </w:t>
            </w:r>
            <w:bookmarkStart w:id="1033" w:name="xdx_900_eus-gaap--CommonStockSharesAutho"/>
            <w:bookmarkEnd w:id="1033"/>
            <w:r>
              <w:rPr>
                <w:rFonts w:ascii="Times New Roman;Times;Serif" w:hAnsi="Times New Roman;Times;Serif"/>
                <w:b w:val="false"/>
                <w:i w:val="false"/>
                <w:caps w:val="false"/>
                <w:smallCaps w:val="false"/>
                <w:sz w:val="20"/>
              </w:rPr>
              <w:t xml:space="preserve">10,359,211 shares to a total of </w:t>
            </w:r>
            <w:bookmarkStart w:id="1034" w:name="xdx_90C_eus-gaap--CommonStockSharesAutho"/>
            <w:bookmarkEnd w:id="1034"/>
            <w:r>
              <w:rPr>
                <w:rFonts w:ascii="Times New Roman;Times;Serif" w:hAnsi="Times New Roman;Times;Serif"/>
                <w:b w:val="false"/>
                <w:i w:val="false"/>
                <w:caps w:val="false"/>
                <w:smallCaps w:val="false"/>
                <w:sz w:val="20"/>
              </w:rPr>
              <w:t>14,735,806 shares.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993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Approve the potential issuance of 19.99% or more of our issued and outstanding common stock pursuant to the SEPA with Yorkville.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w:t>
            </w:r>
          </w:p>
        </w:tc>
        <w:tc>
          <w:tcPr>
            <w:tcW w:w="993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Approve an amendment to our Amended and Restated Certificate of Incorporation to increase the number of authorized shares of common stock from </w:t>
            </w:r>
            <w:bookmarkStart w:id="1035" w:name="xdx_902_eus-gaap--CommonStockSharesAutho"/>
            <w:bookmarkEnd w:id="1035"/>
            <w:r>
              <w:rPr>
                <w:rFonts w:ascii="Times New Roman;Times;Serif" w:hAnsi="Times New Roman;Times;Serif"/>
                <w:b w:val="false"/>
                <w:i w:val="false"/>
                <w:caps w:val="false"/>
                <w:smallCaps w:val="false"/>
                <w:sz w:val="20"/>
              </w:rPr>
              <w:t xml:space="preserve">200,000,000 to </w:t>
            </w:r>
            <w:bookmarkStart w:id="1036" w:name="xdx_90D_eus-gaap--CommonStockSharesAutho"/>
            <w:bookmarkEnd w:id="1036"/>
            <w:r>
              <w:rPr>
                <w:rFonts w:ascii="Times New Roman;Times;Serif" w:hAnsi="Times New Roman;Times;Serif"/>
                <w:b w:val="false"/>
                <w:i w:val="false"/>
                <w:caps w:val="false"/>
                <w:smallCaps w:val="false"/>
                <w:sz w:val="20"/>
              </w:rPr>
              <w:t>500,000,000.</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w:t>
            </w:r>
          </w:p>
        </w:tc>
        <w:tc>
          <w:tcPr>
            <w:tcW w:w="993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Approve of an amendment to our Amended and Restated Certificate of Incorporation to classify our board of directors into three staggered classes.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special meeting of stockholders held on September 5, 2025, Proposals B—F were approved. Proposal A was adjourned to November 4,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stockholder approval of Proposal A, the holders of Exchangeable Shares are entitled to receive, in total, shares representing 75% of the Company’s fully diluted common stock as of the Agreement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Consideration Transferred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preliminary fair value of the consideration transferred was $</w:t>
      </w:r>
      <w:bookmarkStart w:id="1037" w:name="xdx_90D_eus-gaap--PaymentsToAcquireBusin"/>
      <w:bookmarkEnd w:id="1037"/>
      <w:r>
        <w:rPr>
          <w:rFonts w:ascii="Times New Roman;Times;Serif" w:hAnsi="Times New Roman;Times;Serif"/>
          <w:b w:val="false"/>
          <w:i w:val="false"/>
          <w:caps w:val="false"/>
          <w:smallCaps w:val="false"/>
          <w:sz w:val="20"/>
        </w:rPr>
        <w:t>105.7 million, consisting of:</w:t>
      </w:r>
    </w:p>
    <w:p>
      <w:pPr>
        <w:pStyle w:val="TextBody"/>
        <w:bidi w:val="0"/>
        <w:spacing w:before="0" w:after="0"/>
        <w:ind w:left="0" w:right="0" w:hanging="0"/>
        <w:jc w:val="both"/>
        <w:rPr>
          <w:caps w:val="false"/>
          <w:smallCaps w:val="false"/>
        </w:rPr>
      </w:pPr>
      <w:r>
        <w:rPr>
          <w:caps w:val="false"/>
          <w:smallCaps w:val="false"/>
        </w:rPr>
        <w:t> </w:t>
      </w:r>
    </w:p>
    <w:tbl>
      <w:tblPr>
        <w:tblW w:w="5785" w:type="dxa"/>
        <w:jc w:val="left"/>
        <w:tblInd w:w="0" w:type="dxa"/>
        <w:tblLayout w:type="fixed"/>
        <w:tblCellMar>
          <w:top w:w="0" w:type="dxa"/>
          <w:left w:w="0" w:type="dxa"/>
          <w:bottom w:w="0" w:type="dxa"/>
          <w:right w:w="0" w:type="dxa"/>
        </w:tblCellMar>
      </w:tblPr>
      <w:tblGrid>
        <w:gridCol w:w="75"/>
        <w:gridCol w:w="170"/>
        <w:gridCol w:w="554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55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1038" w:name="xdx_90E_eus-gaap--BusinessCombinationCon"/>
            <w:bookmarkEnd w:id="1038"/>
            <w:r>
              <w:rPr>
                <w:rFonts w:ascii="Times New Roman;Times;Serif" w:hAnsi="Times New Roman;Times;Serif"/>
                <w:b w:val="false"/>
                <w:i w:val="false"/>
                <w:caps w:val="false"/>
                <w:smallCaps w:val="false"/>
                <w:sz w:val="20"/>
              </w:rPr>
              <w:t>105.5 million in Exchangeable Shares issued by ExchangeCo;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55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1039" w:name="xdx_90B_eus-gaap--BusinessCombinationCon"/>
            <w:bookmarkEnd w:id="1039"/>
            <w:r>
              <w:rPr>
                <w:rFonts w:ascii="Times New Roman;Times;Serif" w:hAnsi="Times New Roman;Times;Serif"/>
                <w:b w:val="false"/>
                <w:i w:val="false"/>
                <w:caps w:val="false"/>
                <w:smallCaps w:val="false"/>
                <w:sz w:val="20"/>
              </w:rPr>
              <w:t>0.2 million in assumed liabilities.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Due to the lack of an active market for the Exchangeable Shares and the contingent nature of their conversion, a fundamentals-based valuation approach was used to estimate the fair value of the consideration. The contingent consideration related to the potential adjustment of the Exchange Ratio from 1.0 to 1.25—triggered if shareholder approval is not obtained within six months following the closing date—is not included in the preliminary purchase consideration as of May 28, 2025. Management believes it is probable that shareholder approval will be obtained within the specified period, and therefore, the contingency is not considered to represent a currently estimable obligation under ASC 805.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acquisition of Streamex Exchange, the Company incurred total acquisition-related costs of $</w:t>
      </w:r>
      <w:bookmarkStart w:id="1040" w:name="xdx_90D_eus-gaap--BusinessCombinationAcq"/>
      <w:bookmarkEnd w:id="1040"/>
      <w:r>
        <w:rPr>
          <w:rFonts w:ascii="Times New Roman;Times;Serif" w:hAnsi="Times New Roman;Times;Serif"/>
          <w:b w:val="false"/>
          <w:i w:val="false"/>
          <w:caps w:val="false"/>
          <w:smallCaps w:val="false"/>
          <w:sz w:val="20"/>
        </w:rPr>
        <w:t xml:space="preserve">7,116,411 during the nine months ended September 30, 2025. These costs primarily consisted of legal, accounting, and consulting fees directly attributable to the transaction. Included in this amount was the issuance of </w:t>
      </w:r>
      <w:bookmarkStart w:id="1041" w:name="xdx_908_eus-gaap--StockIssuedDuringPerio"/>
      <w:bookmarkEnd w:id="1041"/>
      <w:r>
        <w:rPr>
          <w:rFonts w:ascii="Times New Roman;Times;Serif" w:hAnsi="Times New Roman;Times;Serif"/>
          <w:b w:val="false"/>
          <w:i w:val="false"/>
          <w:caps w:val="false"/>
          <w:smallCaps w:val="false"/>
          <w:sz w:val="20"/>
        </w:rPr>
        <w:t>200,000 shares of the Company’s common stock to a third-party consultant, valued at $</w:t>
      </w:r>
      <w:bookmarkStart w:id="1042" w:name="xdx_902_eus-gaap--StockIssuedDuringPerio"/>
      <w:bookmarkEnd w:id="1042"/>
      <w:r>
        <w:rPr>
          <w:rFonts w:ascii="Times New Roman;Times;Serif" w:hAnsi="Times New Roman;Times;Serif"/>
          <w:b w:val="false"/>
          <w:i w:val="false"/>
          <w:caps w:val="false"/>
          <w:smallCaps w:val="false"/>
          <w:sz w:val="20"/>
        </w:rPr>
        <w:t xml:space="preserve">1,010,000 based on the grant-date fair value and the expected issuance of </w:t>
      </w:r>
      <w:bookmarkStart w:id="1043" w:name="xdx_903_eus-gaap--StockIssuedDuringPerio"/>
      <w:bookmarkEnd w:id="1043"/>
      <w:r>
        <w:rPr>
          <w:rFonts w:ascii="Times New Roman;Times;Serif" w:hAnsi="Times New Roman;Times;Serif"/>
          <w:b w:val="false"/>
          <w:i w:val="false"/>
          <w:caps w:val="false"/>
          <w:smallCaps w:val="false"/>
          <w:sz w:val="20"/>
        </w:rPr>
        <w:t>1,030,065 shares of the Company’s common stock to third party consultants in connection with a finders fee, valued at $</w:t>
      </w:r>
      <w:bookmarkStart w:id="1044" w:name="xdx_901_eus-gaap--StockIssuedDuringPerio"/>
      <w:bookmarkEnd w:id="1044"/>
      <w:r>
        <w:rPr>
          <w:rFonts w:ascii="Times New Roman;Times;Serif" w:hAnsi="Times New Roman;Times;Serif"/>
          <w:b w:val="false"/>
          <w:i w:val="false"/>
          <w:caps w:val="false"/>
          <w:smallCaps w:val="false"/>
          <w:sz w:val="20"/>
        </w:rPr>
        <w:t>6,025,880. These costs were expensed as incurred and are reflected in general and administrative expenses in the unaudited condensed consolidated statements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Purchase Price Allocation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applied the acquisition method of accounting in accordance with ASC 805, Business Combinations (“ASC 805”) and recognized assets acquired and liabilities assumed at their fair value as of the date of acquisition, with the excess purchase consideration recorded to goodwill. As the Company finalizes the estimation of the fair value of the assets acquired and liabilities assumed, additional adjustments may be recorded during the measurement period (a period not to exceed 12 months from the acquisition date).</w:t>
      </w:r>
    </w:p>
    <w:p>
      <w:pPr>
        <w:pStyle w:val="TextBody"/>
        <w:bidi w:val="0"/>
        <w:spacing w:before="0" w:after="0"/>
        <w:ind w:left="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25</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STREAMEX CORP.</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THE CONDENSED CONSOLIDATED FINANCIAL STATEMENTS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SEPTEMBER 30, 2025 </w:t>
      </w:r>
      <w:r>
        <w:rPr>
          <w:rFonts w:ascii="Times New Roman;Times;Serif" w:hAnsi="Times New Roman;Times;Serif"/>
          <w:b/>
          <w:i/>
          <w:caps w:val="false"/>
          <w:smallCaps w:val="false"/>
          <w:sz w:val="20"/>
        </w:rPr>
        <w:t>(</w:t>
      </w:r>
      <w:r>
        <w:rPr>
          <w:rFonts w:ascii="Times New Roman;Times;Serif" w:hAnsi="Times New Roman;Times;Serif"/>
          <w:b/>
          <w:i w:val="false"/>
          <w:caps w:val="false"/>
          <w:smallCaps w:val="false"/>
          <w:sz w:val="20"/>
        </w:rPr>
        <w:t>Unaudited</w:t>
      </w:r>
      <w:r>
        <w:rPr>
          <w:rFonts w:ascii="Times New Roman;Times;Serif" w:hAnsi="Times New Roman;Times;Serif"/>
          <w:b/>
          <w:i/>
          <w:caps w:val="false"/>
          <w:smallCaps w:val="false"/>
          <w:sz w:val="20"/>
        </w:rPr>
        <w: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1045" w:name="xdx_898_eus-gaap--ScheduleOfRecognizedId"/>
      <w:bookmarkEnd w:id="1045"/>
      <w:r>
        <w:rPr>
          <w:rFonts w:ascii="Times New Roman;Times;Serif" w:hAnsi="Times New Roman;Times;Serif"/>
          <w:b w:val="false"/>
          <w:i w:val="false"/>
          <w:caps w:val="false"/>
          <w:smallCaps w:val="false"/>
          <w:sz w:val="20"/>
        </w:rPr>
        <w:t>The Company recorded all tangible and identifiable intangible assets acquired and liabilities assumed at their preliminary estimated fair values as of the acquisition date. The preliminary allocation is as follows:</w:t>
      </w:r>
    </w:p>
    <w:p>
      <w:pPr>
        <w:pStyle w:val="TextBody"/>
        <w:bidi w:val="0"/>
        <w:spacing w:before="0" w:after="0"/>
        <w:ind w:left="0" w:right="0" w:hanging="0"/>
        <w:jc w:val="both"/>
        <w:rPr>
          <w:caps w:val="false"/>
          <w:smallCaps w:val="false"/>
        </w:rPr>
      </w:pPr>
      <w:r>
        <w:rPr>
          <w:caps w:val="false"/>
          <w:smallCaps w:val="false"/>
        </w:rPr>
        <w:t> </w:t>
      </w:r>
      <w:bookmarkStart w:id="1046" w:name="xdx_8B9_z86LisL6K6lg"/>
      <w:bookmarkEnd w:id="1046"/>
      <w:r>
        <w:rPr>
          <w:rFonts w:ascii="Times New Roman;Times;Serif" w:hAnsi="Times New Roman;Times;Serif"/>
          <w:b w:val="false"/>
          <w:i w:val="false"/>
          <w:caps w:val="false"/>
          <w:smallCaps w:val="false"/>
          <w:sz w:val="20"/>
        </w:rPr>
        <w:t>SCHEDULE OF TANGIBLE AND IDENTIFIABLE INTANGIBLE ASSETS ACQUIRED AND LIABILITIES ASSUMED</w:t>
      </w:r>
    </w:p>
    <w:tbl>
      <w:tblPr>
        <w:tblW w:w="8765" w:type="dxa"/>
        <w:jc w:val="left"/>
        <w:tblInd w:w="0" w:type="dxa"/>
        <w:tblLayout w:type="fixed"/>
        <w:tblCellMar>
          <w:top w:w="0" w:type="dxa"/>
          <w:left w:w="0" w:type="dxa"/>
          <w:bottom w:w="28" w:type="dxa"/>
          <w:right w:w="0" w:type="dxa"/>
        </w:tblCellMar>
      </w:tblPr>
      <w:tblGrid>
        <w:gridCol w:w="7655"/>
        <w:gridCol w:w="60"/>
        <w:gridCol w:w="140"/>
        <w:gridCol w:w="800"/>
        <w:gridCol w:w="110"/>
      </w:tblGrid>
      <w:tr>
        <w:trPr/>
        <w:tc>
          <w:tcPr>
            <w:tcW w:w="7655" w:type="dxa"/>
            <w:tcBorders>
              <w:bottom w:val="single" w:sz="8" w:space="0" w:color="000000"/>
            </w:tcBorders>
            <w:vAlign w:val="center"/>
          </w:tcPr>
          <w:p>
            <w:pPr>
              <w:pStyle w:val="TableContents"/>
              <w:bidi w:val="0"/>
              <w:spacing w:before="0" w:after="283"/>
              <w:jc w:val="center"/>
              <w:rPr>
                <w:b/>
              </w:rPr>
            </w:pPr>
            <w:r>
              <w:rPr>
                <w:b/>
              </w:rPr>
              <w:t>Preliminary Amount Recognized as of the Acquisition Date (In Thousands)</w:t>
            </w:r>
          </w:p>
        </w:tc>
        <w:tc>
          <w:tcPr>
            <w:tcW w:w="60" w:type="dxa"/>
            <w:tcBorders/>
            <w:tcMar>
              <w:bottom w:w="0" w:type="dxa"/>
            </w:tcMar>
            <w:vAlign w:val="center"/>
          </w:tcPr>
          <w:p>
            <w:pPr>
              <w:pStyle w:val="TableContents"/>
              <w:bidi w:val="0"/>
              <w:spacing w:before="0" w:after="283"/>
              <w:jc w:val="left"/>
              <w:rPr/>
            </w:pPr>
            <w:r>
              <w:rPr/>
              <w:t> </w:t>
            </w:r>
            <w:bookmarkStart w:id="1047" w:name="xdx_490_20250528_zXI01QDd1d2f"/>
            <w:bookmarkEnd w:id="1047"/>
          </w:p>
        </w:tc>
        <w:tc>
          <w:tcPr>
            <w:tcW w:w="940" w:type="dxa"/>
            <w:gridSpan w:val="2"/>
            <w:tcBorders/>
            <w:tcMar>
              <w:bottom w:w="0" w:type="dxa"/>
            </w:tcMar>
            <w:vAlign w:val="center"/>
          </w:tcPr>
          <w:p>
            <w:pPr>
              <w:pStyle w:val="TableContents"/>
              <w:bidi w:val="0"/>
              <w:spacing w:before="0" w:after="283"/>
              <w:jc w:val="both"/>
              <w:rPr/>
            </w:pPr>
            <w:r>
              <w:rPr/>
              <w:t> </w:t>
            </w:r>
          </w:p>
        </w:tc>
        <w:tc>
          <w:tcPr>
            <w:tcW w:w="110" w:type="dxa"/>
            <w:tcBorders/>
            <w:tcMar>
              <w:bottom w:w="0" w:type="dxa"/>
            </w:tcMar>
            <w:vAlign w:val="center"/>
          </w:tcPr>
          <w:p>
            <w:pPr>
              <w:pStyle w:val="TableContents"/>
              <w:bidi w:val="0"/>
              <w:spacing w:before="0" w:after="283"/>
              <w:jc w:val="left"/>
              <w:rPr/>
            </w:pPr>
            <w:r>
              <w:rPr/>
              <w:t> </w:t>
            </w:r>
          </w:p>
        </w:tc>
      </w:tr>
      <w:tr>
        <w:trPr/>
        <w:tc>
          <w:tcPr>
            <w:tcW w:w="7655" w:type="dxa"/>
            <w:tcBorders/>
            <w:shd w:fill="CCEEFF" w:val="clear"/>
            <w:tcMar>
              <w:bottom w:w="0" w:type="dxa"/>
            </w:tcMar>
            <w:vAlign w:val="center"/>
          </w:tcPr>
          <w:p>
            <w:pPr>
              <w:pStyle w:val="TableContents"/>
              <w:bidi w:val="0"/>
              <w:spacing w:before="0" w:after="283"/>
              <w:jc w:val="both"/>
              <w:rPr>
                <w:b/>
              </w:rPr>
            </w:pPr>
            <w:r>
              <w:rPr>
                <w:b/>
              </w:rPr>
              <w:t>Assets acquired</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 </w:t>
            </w:r>
          </w:p>
        </w:tc>
        <w:tc>
          <w:tcPr>
            <w:tcW w:w="110" w:type="dxa"/>
            <w:tcBorders/>
            <w:shd w:fill="CCEEFF" w:val="clear"/>
            <w:tcMar>
              <w:bottom w:w="0" w:type="dxa"/>
            </w:tcMar>
            <w:vAlign w:val="center"/>
          </w:tcPr>
          <w:p>
            <w:pPr>
              <w:pStyle w:val="TableContents"/>
              <w:bidi w:val="0"/>
              <w:spacing w:before="0" w:after="283"/>
              <w:jc w:val="left"/>
              <w:rPr/>
            </w:pPr>
            <w:r>
              <w:rPr/>
              <w:t> </w:t>
            </w:r>
            <w:bookmarkStart w:id="1048" w:name="xdx_40D_eus-gaap--BusinessCombinationRec"/>
            <w:bookmarkEnd w:id="1048"/>
          </w:p>
        </w:tc>
      </w:tr>
      <w:tr>
        <w:trPr/>
        <w:tc>
          <w:tcPr>
            <w:tcW w:w="7655" w:type="dxa"/>
            <w:tcBorders/>
            <w:shd w:fill="FFFFFF" w:val="clear"/>
            <w:tcMar>
              <w:bottom w:w="0" w:type="dxa"/>
            </w:tcMar>
            <w:vAlign w:val="center"/>
          </w:tcPr>
          <w:p>
            <w:pPr>
              <w:pStyle w:val="TableContents"/>
              <w:bidi w:val="0"/>
              <w:spacing w:before="0" w:after="283"/>
              <w:jc w:val="both"/>
              <w:rPr/>
            </w:pPr>
            <w:r>
              <w:rPr/>
              <w:t>Cash</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w:t>
            </w:r>
          </w:p>
        </w:tc>
        <w:tc>
          <w:tcPr>
            <w:tcW w:w="800" w:type="dxa"/>
            <w:tcBorders/>
            <w:shd w:fill="FFFFFF" w:val="clear"/>
            <w:tcMar>
              <w:bottom w:w="0" w:type="dxa"/>
            </w:tcMar>
            <w:vAlign w:val="center"/>
          </w:tcPr>
          <w:p>
            <w:pPr>
              <w:pStyle w:val="TableContents"/>
              <w:bidi w:val="0"/>
              <w:spacing w:before="0" w:after="283"/>
              <w:jc w:val="right"/>
              <w:rPr/>
            </w:pPr>
            <w:r>
              <w:rPr/>
              <w:t>366</w:t>
            </w:r>
          </w:p>
        </w:tc>
        <w:tc>
          <w:tcPr>
            <w:tcW w:w="110" w:type="dxa"/>
            <w:tcBorders/>
            <w:shd w:fill="FFFFFF" w:val="clear"/>
            <w:tcMar>
              <w:bottom w:w="0" w:type="dxa"/>
            </w:tcMar>
            <w:vAlign w:val="center"/>
          </w:tcPr>
          <w:p>
            <w:pPr>
              <w:pStyle w:val="TableContents"/>
              <w:bidi w:val="0"/>
              <w:spacing w:before="0" w:after="283"/>
              <w:jc w:val="left"/>
              <w:rPr/>
            </w:pPr>
            <w:r>
              <w:rPr/>
              <w:t> </w:t>
            </w:r>
            <w:bookmarkStart w:id="1049" w:name="xdx_405_ecustom--BusinessCombinationReco"/>
            <w:bookmarkEnd w:id="1049"/>
          </w:p>
        </w:tc>
      </w:tr>
      <w:tr>
        <w:trPr/>
        <w:tc>
          <w:tcPr>
            <w:tcW w:w="7655" w:type="dxa"/>
            <w:tcBorders/>
            <w:shd w:fill="CCEEFF" w:val="clear"/>
            <w:tcMar>
              <w:bottom w:w="0" w:type="dxa"/>
            </w:tcMar>
            <w:vAlign w:val="center"/>
          </w:tcPr>
          <w:p>
            <w:pPr>
              <w:pStyle w:val="TableContents"/>
              <w:bidi w:val="0"/>
              <w:spacing w:before="0" w:after="283"/>
              <w:jc w:val="both"/>
              <w:rPr/>
            </w:pPr>
            <w:r>
              <w:rPr/>
              <w:t>Due from related party</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11</w:t>
            </w:r>
          </w:p>
        </w:tc>
        <w:tc>
          <w:tcPr>
            <w:tcW w:w="110" w:type="dxa"/>
            <w:tcBorders/>
            <w:shd w:fill="CCEEFF" w:val="clear"/>
            <w:tcMar>
              <w:bottom w:w="0" w:type="dxa"/>
            </w:tcMar>
            <w:vAlign w:val="center"/>
          </w:tcPr>
          <w:p>
            <w:pPr>
              <w:pStyle w:val="TableContents"/>
              <w:bidi w:val="0"/>
              <w:spacing w:before="0" w:after="283"/>
              <w:jc w:val="left"/>
              <w:rPr/>
            </w:pPr>
            <w:r>
              <w:rPr/>
              <w:t> </w:t>
            </w:r>
            <w:bookmarkStart w:id="1050" w:name="xdx_40B_ecustom--BusinessCombinationReco"/>
            <w:bookmarkEnd w:id="1050"/>
          </w:p>
        </w:tc>
      </w:tr>
      <w:tr>
        <w:trPr/>
        <w:tc>
          <w:tcPr>
            <w:tcW w:w="7655" w:type="dxa"/>
            <w:tcBorders/>
            <w:shd w:fill="FFFFFF" w:val="clear"/>
            <w:tcMar>
              <w:bottom w:w="0" w:type="dxa"/>
            </w:tcMar>
            <w:vAlign w:val="center"/>
          </w:tcPr>
          <w:p>
            <w:pPr>
              <w:pStyle w:val="TableContents"/>
              <w:bidi w:val="0"/>
              <w:spacing w:before="0" w:after="283"/>
              <w:jc w:val="both"/>
              <w:rPr/>
            </w:pPr>
            <w:r>
              <w:rPr/>
              <w:t>Sales tax receivable</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14</w:t>
            </w:r>
          </w:p>
        </w:tc>
        <w:tc>
          <w:tcPr>
            <w:tcW w:w="110" w:type="dxa"/>
            <w:tcBorders/>
            <w:shd w:fill="FFFFFF" w:val="clear"/>
            <w:tcMar>
              <w:bottom w:w="0" w:type="dxa"/>
            </w:tcMar>
            <w:vAlign w:val="center"/>
          </w:tcPr>
          <w:p>
            <w:pPr>
              <w:pStyle w:val="TableContents"/>
              <w:bidi w:val="0"/>
              <w:spacing w:before="0" w:after="283"/>
              <w:jc w:val="left"/>
              <w:rPr/>
            </w:pPr>
            <w:r>
              <w:rPr/>
              <w:t> </w:t>
            </w:r>
            <w:bookmarkStart w:id="1051" w:name="xdx_408_eus-gaap--BusinessCombinationRec"/>
            <w:bookmarkEnd w:id="1051"/>
          </w:p>
        </w:tc>
      </w:tr>
      <w:tr>
        <w:trPr/>
        <w:tc>
          <w:tcPr>
            <w:tcW w:w="7655" w:type="dxa"/>
            <w:tcBorders/>
            <w:shd w:fill="CCEEFF" w:val="clear"/>
            <w:tcMar>
              <w:bottom w:w="0" w:type="dxa"/>
            </w:tcMar>
            <w:vAlign w:val="center"/>
          </w:tcPr>
          <w:p>
            <w:pPr>
              <w:pStyle w:val="TableContents"/>
              <w:bidi w:val="0"/>
              <w:spacing w:before="0" w:after="283"/>
              <w:jc w:val="both"/>
              <w:rPr/>
            </w:pPr>
            <w:r>
              <w:rPr/>
              <w:t>Prepaid expenses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22</w:t>
            </w:r>
          </w:p>
        </w:tc>
        <w:tc>
          <w:tcPr>
            <w:tcW w:w="110" w:type="dxa"/>
            <w:tcBorders/>
            <w:shd w:fill="CCEEFF" w:val="clear"/>
            <w:tcMar>
              <w:bottom w:w="0" w:type="dxa"/>
            </w:tcMar>
            <w:vAlign w:val="center"/>
          </w:tcPr>
          <w:p>
            <w:pPr>
              <w:pStyle w:val="TableContents"/>
              <w:bidi w:val="0"/>
              <w:spacing w:before="0" w:after="283"/>
              <w:jc w:val="left"/>
              <w:rPr/>
            </w:pPr>
            <w:r>
              <w:rPr/>
              <w:t> </w:t>
            </w:r>
            <w:bookmarkStart w:id="1052" w:name="xdx_40A_ecustom--BusinessCombinationReco"/>
            <w:bookmarkEnd w:id="1052"/>
          </w:p>
        </w:tc>
      </w:tr>
      <w:tr>
        <w:trPr/>
        <w:tc>
          <w:tcPr>
            <w:tcW w:w="7655" w:type="dxa"/>
            <w:tcBorders/>
            <w:shd w:fill="FFFFFF" w:val="clear"/>
            <w:tcMar>
              <w:bottom w:w="0" w:type="dxa"/>
            </w:tcMar>
            <w:vAlign w:val="center"/>
          </w:tcPr>
          <w:p>
            <w:pPr>
              <w:pStyle w:val="TableContents"/>
              <w:bidi w:val="0"/>
              <w:spacing w:before="0" w:after="283"/>
              <w:jc w:val="both"/>
              <w:rPr/>
            </w:pPr>
            <w:r>
              <w:rPr/>
              <w:t>Trade name</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5,100</w:t>
            </w:r>
          </w:p>
        </w:tc>
        <w:tc>
          <w:tcPr>
            <w:tcW w:w="110" w:type="dxa"/>
            <w:tcBorders/>
            <w:shd w:fill="FFFFFF" w:val="clear"/>
            <w:tcMar>
              <w:bottom w:w="0" w:type="dxa"/>
            </w:tcMar>
            <w:vAlign w:val="center"/>
          </w:tcPr>
          <w:p>
            <w:pPr>
              <w:pStyle w:val="TableContents"/>
              <w:bidi w:val="0"/>
              <w:spacing w:before="0" w:after="283"/>
              <w:jc w:val="left"/>
              <w:rPr/>
            </w:pPr>
            <w:r>
              <w:rPr/>
              <w:t> </w:t>
            </w:r>
            <w:bookmarkStart w:id="1053" w:name="xdx_407_ecustom--BusinessCombinationReco"/>
            <w:bookmarkEnd w:id="1053"/>
          </w:p>
        </w:tc>
      </w:tr>
      <w:tr>
        <w:trPr/>
        <w:tc>
          <w:tcPr>
            <w:tcW w:w="7655" w:type="dxa"/>
            <w:tcBorders/>
            <w:shd w:fill="CCEEFF" w:val="clear"/>
            <w:tcMar>
              <w:bottom w:w="0" w:type="dxa"/>
            </w:tcMar>
            <w:vAlign w:val="center"/>
          </w:tcPr>
          <w:p>
            <w:pPr>
              <w:pStyle w:val="TableContents"/>
              <w:bidi w:val="0"/>
              <w:spacing w:before="0" w:after="283"/>
              <w:jc w:val="both"/>
              <w:rPr/>
            </w:pPr>
            <w:r>
              <w:rPr/>
              <w:t>Developed technology</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40,000</w:t>
            </w:r>
          </w:p>
        </w:tc>
        <w:tc>
          <w:tcPr>
            <w:tcW w:w="110" w:type="dxa"/>
            <w:tcBorders/>
            <w:shd w:fill="CCEEFF" w:val="clear"/>
            <w:tcMar>
              <w:bottom w:w="0" w:type="dxa"/>
            </w:tcMar>
            <w:vAlign w:val="center"/>
          </w:tcPr>
          <w:p>
            <w:pPr>
              <w:pStyle w:val="TableContents"/>
              <w:bidi w:val="0"/>
              <w:spacing w:before="0" w:after="283"/>
              <w:jc w:val="left"/>
              <w:rPr/>
            </w:pPr>
            <w:r>
              <w:rPr/>
              <w:t> </w:t>
            </w:r>
            <w:bookmarkStart w:id="1054" w:name="xdx_403_ecustom--BusinessCombinationReco"/>
            <w:bookmarkEnd w:id="1054"/>
          </w:p>
        </w:tc>
      </w:tr>
      <w:tr>
        <w:trPr/>
        <w:tc>
          <w:tcPr>
            <w:tcW w:w="7655" w:type="dxa"/>
            <w:tcBorders/>
            <w:shd w:fill="FFFFFF" w:val="clear"/>
            <w:tcMar>
              <w:bottom w:w="0" w:type="dxa"/>
            </w:tcMar>
            <w:vAlign w:val="center"/>
          </w:tcPr>
          <w:p>
            <w:pPr>
              <w:pStyle w:val="TableContents"/>
              <w:bidi w:val="0"/>
              <w:spacing w:before="0" w:after="283"/>
              <w:jc w:val="both"/>
              <w:rPr/>
            </w:pPr>
            <w:r>
              <w:rPr/>
              <w:t>Legal and compliance framework</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2,400</w:t>
            </w:r>
          </w:p>
        </w:tc>
        <w:tc>
          <w:tcPr>
            <w:tcW w:w="110" w:type="dxa"/>
            <w:tcBorders/>
            <w:shd w:fill="FFFFFF" w:val="clear"/>
            <w:tcMar>
              <w:bottom w:w="0" w:type="dxa"/>
            </w:tcMar>
            <w:vAlign w:val="center"/>
          </w:tcPr>
          <w:p>
            <w:pPr>
              <w:pStyle w:val="TableContents"/>
              <w:bidi w:val="0"/>
              <w:spacing w:before="0" w:after="283"/>
              <w:jc w:val="left"/>
              <w:rPr/>
            </w:pPr>
            <w:r>
              <w:rPr/>
              <w:t> </w:t>
            </w:r>
            <w:bookmarkStart w:id="1055" w:name="xdx_400_ecustom--BusinessCombinationReco"/>
            <w:bookmarkEnd w:id="1055"/>
          </w:p>
        </w:tc>
      </w:tr>
      <w:tr>
        <w:trPr/>
        <w:tc>
          <w:tcPr>
            <w:tcW w:w="7655" w:type="dxa"/>
            <w:tcBorders/>
            <w:shd w:fill="CCEEFF" w:val="clear"/>
            <w:tcMar>
              <w:bottom w:w="0" w:type="dxa"/>
            </w:tcMar>
            <w:vAlign w:val="center"/>
          </w:tcPr>
          <w:p>
            <w:pPr>
              <w:pStyle w:val="TableContents"/>
              <w:bidi w:val="0"/>
              <w:spacing w:before="0" w:after="283"/>
              <w:jc w:val="both"/>
              <w:rPr/>
            </w:pPr>
            <w:r>
              <w:rPr/>
              <w:t>Goodwill</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CCEEFF" w:val="clear"/>
            <w:vAlign w:val="center"/>
          </w:tcPr>
          <w:p>
            <w:pPr>
              <w:pStyle w:val="TableContents"/>
              <w:bidi w:val="0"/>
              <w:spacing w:before="0" w:after="283"/>
              <w:jc w:val="left"/>
              <w:rPr/>
            </w:pPr>
            <w:r>
              <w:rPr/>
              <w:t> </w:t>
            </w:r>
          </w:p>
        </w:tc>
        <w:tc>
          <w:tcPr>
            <w:tcW w:w="800" w:type="dxa"/>
            <w:tcBorders>
              <w:bottom w:val="single" w:sz="8" w:space="0" w:color="000000"/>
            </w:tcBorders>
            <w:shd w:fill="CCEEFF" w:val="clear"/>
            <w:vAlign w:val="center"/>
          </w:tcPr>
          <w:p>
            <w:pPr>
              <w:pStyle w:val="TableContents"/>
              <w:bidi w:val="0"/>
              <w:spacing w:before="0" w:after="283"/>
              <w:jc w:val="right"/>
              <w:rPr/>
            </w:pPr>
            <w:r>
              <w:rPr/>
              <w:t>70,435</w:t>
            </w:r>
          </w:p>
        </w:tc>
        <w:tc>
          <w:tcPr>
            <w:tcW w:w="110" w:type="dxa"/>
            <w:tcBorders/>
            <w:shd w:fill="CCEEFF" w:val="clear"/>
            <w:tcMar>
              <w:bottom w:w="0" w:type="dxa"/>
            </w:tcMar>
            <w:vAlign w:val="center"/>
          </w:tcPr>
          <w:p>
            <w:pPr>
              <w:pStyle w:val="TableContents"/>
              <w:bidi w:val="0"/>
              <w:spacing w:before="0" w:after="283"/>
              <w:jc w:val="left"/>
              <w:rPr/>
            </w:pPr>
            <w:r>
              <w:rPr/>
              <w:t> </w:t>
            </w:r>
            <w:bookmarkStart w:id="1056" w:name="xdx_402_eus-gaap--BusinessCombinationRec"/>
            <w:bookmarkEnd w:id="1056"/>
          </w:p>
        </w:tc>
      </w:tr>
      <w:tr>
        <w:trPr/>
        <w:tc>
          <w:tcPr>
            <w:tcW w:w="7655" w:type="dxa"/>
            <w:tcBorders/>
            <w:shd w:fill="FFFFFF" w:val="clear"/>
            <w:tcMar>
              <w:bottom w:w="0" w:type="dxa"/>
            </w:tcMar>
            <w:vAlign w:val="center"/>
          </w:tcPr>
          <w:p>
            <w:pPr>
              <w:pStyle w:val="TableContents"/>
              <w:bidi w:val="0"/>
              <w:spacing w:before="0" w:after="283"/>
              <w:jc w:val="both"/>
              <w:rPr/>
            </w:pPr>
            <w:r>
              <w:rPr/>
              <w:t>Total assets acquired</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FFFFFF" w:val="clear"/>
            <w:vAlign w:val="center"/>
          </w:tcPr>
          <w:p>
            <w:pPr>
              <w:pStyle w:val="TableContents"/>
              <w:bidi w:val="0"/>
              <w:spacing w:before="0" w:after="283"/>
              <w:jc w:val="left"/>
              <w:rPr/>
            </w:pPr>
            <w:r>
              <w:rPr/>
              <w:t>$</w:t>
            </w:r>
          </w:p>
        </w:tc>
        <w:tc>
          <w:tcPr>
            <w:tcW w:w="800" w:type="dxa"/>
            <w:tcBorders>
              <w:bottom w:val="single" w:sz="8" w:space="0" w:color="000000"/>
            </w:tcBorders>
            <w:shd w:fill="FFFFFF" w:val="clear"/>
            <w:vAlign w:val="center"/>
          </w:tcPr>
          <w:p>
            <w:pPr>
              <w:pStyle w:val="TableContents"/>
              <w:bidi w:val="0"/>
              <w:spacing w:before="0" w:after="283"/>
              <w:jc w:val="right"/>
              <w:rPr/>
            </w:pPr>
            <w:r>
              <w:rPr/>
              <w:t>118,348</w:t>
            </w:r>
          </w:p>
        </w:tc>
        <w:tc>
          <w:tcPr>
            <w:tcW w:w="110" w:type="dxa"/>
            <w:tcBorders/>
            <w:shd w:fill="FFFFFF" w:val="clear"/>
            <w:tcMar>
              <w:bottom w:w="0" w:type="dxa"/>
            </w:tcMar>
            <w:vAlign w:val="center"/>
          </w:tcPr>
          <w:p>
            <w:pPr>
              <w:pStyle w:val="TableContents"/>
              <w:bidi w:val="0"/>
              <w:spacing w:before="0" w:after="283"/>
              <w:jc w:val="left"/>
              <w:rPr/>
            </w:pPr>
            <w:r>
              <w:rPr/>
              <w:t> </w:t>
            </w:r>
          </w:p>
        </w:tc>
      </w:tr>
      <w:tr>
        <w:trPr/>
        <w:tc>
          <w:tcPr>
            <w:tcW w:w="7655" w:type="dxa"/>
            <w:tcBorders/>
            <w:shd w:fill="CCEEFF" w:val="clear"/>
            <w:tcMar>
              <w:bottom w:w="0" w:type="dxa"/>
            </w:tcMar>
            <w:vAlign w:val="center"/>
          </w:tcPr>
          <w:p>
            <w:pPr>
              <w:pStyle w:val="TableContents"/>
              <w:bidi w:val="0"/>
              <w:spacing w:before="0" w:after="283"/>
              <w:jc w:val="both"/>
              <w:rPr>
                <w:b/>
              </w:rPr>
            </w:pPr>
            <w:r>
              <w:rPr>
                <w:b/>
              </w:rPr>
              <w:t>Liabilities assumed</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 </w:t>
            </w:r>
          </w:p>
        </w:tc>
        <w:tc>
          <w:tcPr>
            <w:tcW w:w="110" w:type="dxa"/>
            <w:tcBorders/>
            <w:shd w:fill="CCEEFF" w:val="clear"/>
            <w:tcMar>
              <w:bottom w:w="0" w:type="dxa"/>
            </w:tcMar>
            <w:vAlign w:val="center"/>
          </w:tcPr>
          <w:p>
            <w:pPr>
              <w:pStyle w:val="TableContents"/>
              <w:bidi w:val="0"/>
              <w:spacing w:before="0" w:after="283"/>
              <w:jc w:val="left"/>
              <w:rPr/>
            </w:pPr>
            <w:r>
              <w:rPr/>
              <w:t> </w:t>
            </w:r>
            <w:bookmarkStart w:id="1057" w:name="xdx_409_ecustom--BusinessCombinationReco"/>
            <w:bookmarkEnd w:id="1057"/>
          </w:p>
        </w:tc>
      </w:tr>
      <w:tr>
        <w:trPr/>
        <w:tc>
          <w:tcPr>
            <w:tcW w:w="7655" w:type="dxa"/>
            <w:tcBorders/>
            <w:shd w:fill="FFFFFF" w:val="clear"/>
            <w:tcMar>
              <w:bottom w:w="0" w:type="dxa"/>
            </w:tcMar>
            <w:vAlign w:val="center"/>
          </w:tcPr>
          <w:p>
            <w:pPr>
              <w:pStyle w:val="TableContents"/>
              <w:bidi w:val="0"/>
              <w:spacing w:before="0" w:after="283"/>
              <w:jc w:val="both"/>
              <w:rPr/>
            </w:pPr>
            <w:r>
              <w:rPr/>
              <w:t>Accounts payable and accrued expenses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w:t>
            </w:r>
          </w:p>
        </w:tc>
        <w:tc>
          <w:tcPr>
            <w:tcW w:w="800" w:type="dxa"/>
            <w:tcBorders/>
            <w:shd w:fill="FFFFFF" w:val="clear"/>
            <w:tcMar>
              <w:bottom w:w="0" w:type="dxa"/>
            </w:tcMar>
            <w:vAlign w:val="center"/>
          </w:tcPr>
          <w:p>
            <w:pPr>
              <w:pStyle w:val="TableContents"/>
              <w:bidi w:val="0"/>
              <w:spacing w:before="0" w:after="283"/>
              <w:jc w:val="right"/>
              <w:rPr/>
            </w:pPr>
            <w:r>
              <w:rPr/>
              <w:t>(262</w:t>
            </w:r>
          </w:p>
        </w:tc>
        <w:tc>
          <w:tcPr>
            <w:tcW w:w="110" w:type="dxa"/>
            <w:tcBorders/>
            <w:shd w:fill="FFFFFF" w:val="clear"/>
            <w:tcMar>
              <w:bottom w:w="0" w:type="dxa"/>
            </w:tcMar>
            <w:vAlign w:val="center"/>
          </w:tcPr>
          <w:p>
            <w:pPr>
              <w:pStyle w:val="TableContents"/>
              <w:bidi w:val="0"/>
              <w:spacing w:before="0" w:after="283"/>
              <w:jc w:val="left"/>
              <w:rPr/>
            </w:pPr>
            <w:r>
              <w:rPr/>
              <w:t>)</w:t>
            </w:r>
            <w:bookmarkStart w:id="1058" w:name="xdx_40A_eus-gaap--BusinessCombinationRec"/>
            <w:bookmarkEnd w:id="1058"/>
          </w:p>
        </w:tc>
      </w:tr>
      <w:tr>
        <w:trPr/>
        <w:tc>
          <w:tcPr>
            <w:tcW w:w="7655" w:type="dxa"/>
            <w:tcBorders/>
            <w:shd w:fill="CCEEFF" w:val="clear"/>
            <w:tcMar>
              <w:bottom w:w="0" w:type="dxa"/>
            </w:tcMar>
            <w:vAlign w:val="center"/>
          </w:tcPr>
          <w:p>
            <w:pPr>
              <w:pStyle w:val="TableContents"/>
              <w:bidi w:val="0"/>
              <w:spacing w:before="0" w:after="283"/>
              <w:jc w:val="both"/>
              <w:rPr/>
            </w:pPr>
            <w:r>
              <w:rPr/>
              <w:t>Deferred tax liability</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CCEEFF" w:val="clear"/>
            <w:vAlign w:val="center"/>
          </w:tcPr>
          <w:p>
            <w:pPr>
              <w:pStyle w:val="TableContents"/>
              <w:bidi w:val="0"/>
              <w:spacing w:before="0" w:after="283"/>
              <w:jc w:val="left"/>
              <w:rPr/>
            </w:pPr>
            <w:r>
              <w:rPr/>
              <w:t> </w:t>
            </w:r>
          </w:p>
        </w:tc>
        <w:tc>
          <w:tcPr>
            <w:tcW w:w="800" w:type="dxa"/>
            <w:tcBorders>
              <w:bottom w:val="single" w:sz="8" w:space="0" w:color="000000"/>
            </w:tcBorders>
            <w:shd w:fill="CCEEFF" w:val="clear"/>
            <w:vAlign w:val="center"/>
          </w:tcPr>
          <w:p>
            <w:pPr>
              <w:pStyle w:val="TableContents"/>
              <w:bidi w:val="0"/>
              <w:spacing w:before="0" w:after="283"/>
              <w:jc w:val="right"/>
              <w:rPr/>
            </w:pPr>
            <w:r>
              <w:rPr/>
              <w:t>(12,588</w:t>
            </w:r>
          </w:p>
        </w:tc>
        <w:tc>
          <w:tcPr>
            <w:tcW w:w="110" w:type="dxa"/>
            <w:tcBorders/>
            <w:shd w:fill="CCEEFF" w:val="clear"/>
            <w:tcMar>
              <w:bottom w:w="0" w:type="dxa"/>
            </w:tcMar>
            <w:vAlign w:val="center"/>
          </w:tcPr>
          <w:p>
            <w:pPr>
              <w:pStyle w:val="TableContents"/>
              <w:bidi w:val="0"/>
              <w:spacing w:before="0" w:after="283"/>
              <w:jc w:val="left"/>
              <w:rPr/>
            </w:pPr>
            <w:r>
              <w:rPr/>
              <w:t>)</w:t>
            </w:r>
            <w:bookmarkStart w:id="1059" w:name="xdx_405_eus-gaap--BusinessCombinationRec"/>
            <w:bookmarkEnd w:id="1059"/>
          </w:p>
        </w:tc>
      </w:tr>
      <w:tr>
        <w:trPr/>
        <w:tc>
          <w:tcPr>
            <w:tcW w:w="7655" w:type="dxa"/>
            <w:tcBorders/>
            <w:shd w:fill="FFFFFF" w:val="clear"/>
            <w:tcMar>
              <w:bottom w:w="0" w:type="dxa"/>
            </w:tcMar>
            <w:vAlign w:val="center"/>
          </w:tcPr>
          <w:p>
            <w:pPr>
              <w:pStyle w:val="TableContents"/>
              <w:bidi w:val="0"/>
              <w:spacing w:before="0" w:after="283"/>
              <w:jc w:val="both"/>
              <w:rPr/>
            </w:pPr>
            <w:r>
              <w:rPr/>
              <w:t>Total liabilities assumed</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FFFFFF" w:val="clear"/>
            <w:vAlign w:val="center"/>
          </w:tcPr>
          <w:p>
            <w:pPr>
              <w:pStyle w:val="TableContents"/>
              <w:bidi w:val="0"/>
              <w:spacing w:before="0" w:after="283"/>
              <w:jc w:val="left"/>
              <w:rPr/>
            </w:pPr>
            <w:r>
              <w:rPr/>
              <w:t>$</w:t>
            </w:r>
          </w:p>
        </w:tc>
        <w:tc>
          <w:tcPr>
            <w:tcW w:w="800" w:type="dxa"/>
            <w:tcBorders>
              <w:bottom w:val="single" w:sz="8" w:space="0" w:color="000000"/>
            </w:tcBorders>
            <w:shd w:fill="FFFFFF" w:val="clear"/>
            <w:vAlign w:val="center"/>
          </w:tcPr>
          <w:p>
            <w:pPr>
              <w:pStyle w:val="TableContents"/>
              <w:bidi w:val="0"/>
              <w:spacing w:before="0" w:after="283"/>
              <w:jc w:val="right"/>
              <w:rPr/>
            </w:pPr>
            <w:r>
              <w:rPr/>
              <w:t>(12,850</w:t>
            </w:r>
          </w:p>
        </w:tc>
        <w:tc>
          <w:tcPr>
            <w:tcW w:w="110" w:type="dxa"/>
            <w:tcBorders/>
            <w:shd w:fill="FFFFFF" w:val="clear"/>
            <w:tcMar>
              <w:bottom w:w="0" w:type="dxa"/>
            </w:tcMar>
            <w:vAlign w:val="center"/>
          </w:tcPr>
          <w:p>
            <w:pPr>
              <w:pStyle w:val="TableContents"/>
              <w:bidi w:val="0"/>
              <w:spacing w:before="0" w:after="283"/>
              <w:jc w:val="left"/>
              <w:rPr/>
            </w:pPr>
            <w:r>
              <w:rPr/>
              <w:t>)</w:t>
            </w:r>
            <w:bookmarkStart w:id="1060" w:name="xdx_405_eus-gaap--BusinessCombinationRec"/>
            <w:bookmarkEnd w:id="1060"/>
          </w:p>
        </w:tc>
      </w:tr>
      <w:tr>
        <w:trPr/>
        <w:tc>
          <w:tcPr>
            <w:tcW w:w="7655" w:type="dxa"/>
            <w:tcBorders/>
            <w:shd w:fill="CCEEFF" w:val="clear"/>
            <w:tcMar>
              <w:bottom w:w="0" w:type="dxa"/>
            </w:tcMar>
            <w:vAlign w:val="center"/>
          </w:tcPr>
          <w:p>
            <w:pPr>
              <w:pStyle w:val="TableContents"/>
              <w:bidi w:val="0"/>
              <w:spacing w:before="0" w:after="283"/>
              <w:jc w:val="both"/>
              <w:rPr>
                <w:b/>
              </w:rPr>
            </w:pPr>
            <w:r>
              <w:rPr>
                <w:b/>
              </w:rPr>
              <w:t>Net assets acquired</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double" w:sz="6" w:space="0" w:color="000000"/>
            </w:tcBorders>
            <w:shd w:fill="CCEEFF" w:val="clear"/>
            <w:vAlign w:val="center"/>
          </w:tcPr>
          <w:p>
            <w:pPr>
              <w:pStyle w:val="TableContents"/>
              <w:bidi w:val="0"/>
              <w:spacing w:before="0" w:after="283"/>
              <w:jc w:val="left"/>
              <w:rPr/>
            </w:pPr>
            <w:r>
              <w:rPr/>
              <w:t> </w:t>
            </w:r>
          </w:p>
        </w:tc>
        <w:tc>
          <w:tcPr>
            <w:tcW w:w="800" w:type="dxa"/>
            <w:tcBorders>
              <w:bottom w:val="double" w:sz="6" w:space="0" w:color="000000"/>
            </w:tcBorders>
            <w:shd w:fill="CCEEFF" w:val="clear"/>
            <w:vAlign w:val="center"/>
          </w:tcPr>
          <w:p>
            <w:pPr>
              <w:pStyle w:val="TableContents"/>
              <w:bidi w:val="0"/>
              <w:spacing w:before="0" w:after="283"/>
              <w:jc w:val="right"/>
              <w:rPr/>
            </w:pPr>
            <w:r>
              <w:rPr/>
              <w:t>105,498</w:t>
            </w:r>
          </w:p>
        </w:tc>
        <w:tc>
          <w:tcPr>
            <w:tcW w:w="110"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1061" w:name="xdx_8A0_zaJlab3u4bAg"/>
      <w:bookmarkEnd w:id="1061"/>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Deferred tax liability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acquisition of Streamex Exchange, the transaction was structured as a stock acquisition for both U.S. and Canadian tax purposes. No election was made under IRC §338(g); therefore, no step-up in the tax basis of the acquired assets was obtained in either jurisdiction. The purchase price allocation created taxable temporary differences related to identifiable intangible assets, resulting in a deferred tax liability of approximately $</w:t>
      </w:r>
      <w:bookmarkStart w:id="1062" w:name="xdx_903_eus-gaap--DeferredTaxLiabilities"/>
      <w:bookmarkEnd w:id="1062"/>
      <w:r>
        <w:rPr>
          <w:rFonts w:ascii="Times New Roman;Times;Serif" w:hAnsi="Times New Roman;Times;Serif"/>
          <w:b w:val="false"/>
          <w:i w:val="false"/>
          <w:caps w:val="false"/>
          <w:smallCaps w:val="false"/>
          <w:sz w:val="20"/>
        </w:rPr>
        <w:t>12.6 million, measured using the enacted combined Canadian federal and provincial rate of 26.5%. Because these deferred tax liabilities arise in a separate foreign jurisdiction, they cannot offset deferred tax assets of the U.S. parent. The corresponding increase in goodwill was recognized as part of purchase accounting.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Intangible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identified the following finite-lived intangible assets: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Trade Name: Valued at $</w:t>
            </w:r>
            <w:bookmarkStart w:id="1063" w:name="xdx_90A_eus-gaap--FiniteLivedIntangibleA"/>
            <w:bookmarkEnd w:id="1063"/>
            <w:r>
              <w:rPr>
                <w:rFonts w:ascii="Times New Roman;Times;Serif" w:hAnsi="Times New Roman;Times;Serif"/>
                <w:b w:val="false"/>
                <w:i w:val="false"/>
                <w:caps w:val="false"/>
                <w:smallCaps w:val="false"/>
                <w:sz w:val="20"/>
              </w:rPr>
              <w:t xml:space="preserve">5.1 million using the relief-from-royalty method, applying a </w:t>
            </w:r>
            <w:bookmarkStart w:id="1064" w:name="xdx_90F_ecustom--RoyaltyRate_iI_pid_dp_u"/>
            <w:bookmarkEnd w:id="1064"/>
            <w:r>
              <w:rPr>
                <w:rFonts w:ascii="Times New Roman;Times;Serif" w:hAnsi="Times New Roman;Times;Serif"/>
                <w:b w:val="false"/>
                <w:i w:val="false"/>
                <w:caps w:val="false"/>
                <w:smallCaps w:val="false"/>
                <w:sz w:val="20"/>
              </w:rPr>
              <w:t xml:space="preserve">1.0% royalty rate and a </w:t>
            </w:r>
            <w:bookmarkStart w:id="1065" w:name="xdx_909_ecustom--DiscountRate_iI_pid_dp_"/>
            <w:bookmarkEnd w:id="1065"/>
            <w:r>
              <w:rPr>
                <w:rFonts w:ascii="Times New Roman;Times;Serif" w:hAnsi="Times New Roman;Times;Serif"/>
                <w:b w:val="false"/>
                <w:i w:val="false"/>
                <w:caps w:val="false"/>
                <w:smallCaps w:val="false"/>
                <w:sz w:val="20"/>
              </w:rPr>
              <w:t xml:space="preserve">40.5% discount rate. The trade name is expected to be utilized over a </w:t>
            </w:r>
            <w:bookmarkStart w:id="1066" w:name="xdx_90E_eus-gaap--FiniteLivedIntangibleA"/>
            <w:bookmarkEnd w:id="1066"/>
            <w:r>
              <w:rPr>
                <w:rFonts w:ascii="Times New Roman;Times;Serif" w:hAnsi="Times New Roman;Times;Serif"/>
                <w:b w:val="false"/>
                <w:i w:val="false"/>
                <w:caps w:val="false"/>
                <w:smallCaps w:val="false"/>
                <w:sz w:val="20"/>
              </w:rPr>
              <w:t>10-year period and is amortized accordingly.</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Developed Technology</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Comprised of two distinct components, both valued using the multi-period excess earnings method (MPEEM) and amortized over </w:t>
            </w:r>
            <w:bookmarkStart w:id="1067" w:name="xdx_900_eus-gaap--FiniteLivedIntangibleA"/>
            <w:bookmarkEnd w:id="1067"/>
            <w:r>
              <w:rPr>
                <w:rFonts w:ascii="Times New Roman;Times;Serif" w:hAnsi="Times New Roman;Times;Serif"/>
                <w:b w:val="false"/>
                <w:i w:val="false"/>
                <w:caps w:val="false"/>
                <w:smallCaps w:val="false"/>
                <w:sz w:val="20"/>
              </w:rPr>
              <w:t>8 years:</w:t>
            </w:r>
          </w:p>
        </w:tc>
      </w:tr>
    </w:tbl>
    <w:p>
      <w:pPr>
        <w:pStyle w:val="TextBody"/>
        <w:bidi w:val="0"/>
        <w:spacing w:before="0" w:after="0"/>
        <w:ind w:left="144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Securitization Platform: Valued at $</w:t>
            </w:r>
            <w:bookmarkStart w:id="1068" w:name="xdx_90C_eus-gaap--FiniteLivedIntangibleA"/>
            <w:bookmarkEnd w:id="1068"/>
            <w:r>
              <w:rPr>
                <w:rFonts w:ascii="Times New Roman;Times;Serif" w:hAnsi="Times New Roman;Times;Serif"/>
                <w:b w:val="false"/>
                <w:i w:val="false"/>
                <w:caps w:val="false"/>
                <w:smallCaps w:val="false"/>
                <w:sz w:val="20"/>
              </w:rPr>
              <w:t>31.1 million, representing proprietary protocols and infrastructure enabling the tokenization of real-world assets and integration with decentralized finance platforms.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Blockchain Integration: Valued at $</w:t>
            </w:r>
            <w:bookmarkStart w:id="1069" w:name="xdx_902_eus-gaap--FiniteLivedIntangibleA"/>
            <w:bookmarkEnd w:id="1069"/>
            <w:r>
              <w:rPr>
                <w:rFonts w:ascii="Times New Roman;Times;Serif" w:hAnsi="Times New Roman;Times;Serif"/>
                <w:b w:val="false"/>
                <w:i w:val="false"/>
                <w:caps w:val="false"/>
                <w:smallCaps w:val="false"/>
                <w:sz w:val="20"/>
              </w:rPr>
              <w:t>8.9 million, reflecting proprietary systems facilitating token creation and secondary market trading through blockchain-based platforms.</w:t>
            </w:r>
          </w:p>
        </w:tc>
      </w:tr>
    </w:tbl>
    <w:p>
      <w:pPr>
        <w:pStyle w:val="TextBody"/>
        <w:bidi w:val="0"/>
        <w:spacing w:before="0" w:after="0"/>
        <w:ind w:left="144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Legal and Compliance Framework: Valued at $</w:t>
            </w:r>
            <w:bookmarkStart w:id="1070" w:name="xdx_90A_eus-gaap--FiniteLivedIntangibleA"/>
            <w:bookmarkEnd w:id="1070"/>
            <w:r>
              <w:rPr>
                <w:rFonts w:ascii="Times New Roman;Times;Serif" w:hAnsi="Times New Roman;Times;Serif"/>
                <w:b w:val="false"/>
                <w:i w:val="false"/>
                <w:caps w:val="false"/>
                <w:smallCaps w:val="false"/>
                <w:sz w:val="20"/>
              </w:rPr>
              <w:t>2.4 million using the cost approach, based on the estimated cost to recreate the regulatory and legal infrastructure necessary for operations. The asset has a useful life of 7 years and is amortized accordingly. The legal and compliance framework is expected to contribute to future revenue generation by enabling the Company to operate in regulated jurisdictions, supporting onboarding of clients who require robust compliance infrastructure, enhancing credibility with partners, regulators and investors and reducing legal and regulatory risk exposure.</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Goodwill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Goodwill of $</w:t>
      </w:r>
      <w:bookmarkStart w:id="1071" w:name="xdx_902_eus-gaap--IntangibleAssetsNetInc"/>
      <w:bookmarkEnd w:id="1071"/>
      <w:r>
        <w:rPr>
          <w:rFonts w:ascii="Times New Roman;Times;Serif" w:hAnsi="Times New Roman;Times;Serif"/>
          <w:b w:val="false"/>
          <w:i w:val="false"/>
          <w:caps w:val="false"/>
          <w:smallCaps w:val="false"/>
          <w:sz w:val="20"/>
        </w:rPr>
        <w:t>70.4 million represents the excess of the purchase consideration over the fair value of net assets acquired. Goodwill of $</w:t>
      </w:r>
      <w:bookmarkStart w:id="1072" w:name="xdx_90F_eus-gaap--GoodwillAcquiredDuring"/>
      <w:bookmarkEnd w:id="1072"/>
      <w:r>
        <w:rPr>
          <w:rFonts w:ascii="Times New Roman;Times;Serif" w:hAnsi="Times New Roman;Times;Serif"/>
          <w:b w:val="false"/>
          <w:i w:val="false"/>
          <w:caps w:val="false"/>
          <w:smallCaps w:val="false"/>
          <w:sz w:val="20"/>
        </w:rPr>
        <w:t>70.4 million was recognized in connection with the acquisition. None of the goodwill is expected to be deductible for tax purposes. The goodwill is assigned to the consolidated reporting unit, as the Company operates as a single segment. The goodwill primarily represents expected synergies, assembled workforce, and future growth potential. No goodwill arose from step acquisitions or noncontrolling interests.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Measurement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three months ended September 30, 2025, the Company recorded a measurement period adjustment related to the acquisition of Streamex Exchange. The adjustment resulted in the recognition of a deferred tax liability of approximately $</w:t>
      </w:r>
      <w:bookmarkStart w:id="1073" w:name="xdx_901_ecustom--AdjustmentOfDeferredInc"/>
      <w:bookmarkEnd w:id="1073"/>
      <w:r>
        <w:rPr>
          <w:rFonts w:ascii="Times New Roman;Times;Serif" w:hAnsi="Times New Roman;Times;Serif"/>
          <w:b w:val="false"/>
          <w:i w:val="false"/>
          <w:caps w:val="false"/>
          <w:smallCaps w:val="false"/>
          <w:sz w:val="20"/>
        </w:rPr>
        <w:t>12.6 million, primarily related to permanent differences arising from the fair value of identifiable intangible assets acquired in the transaction. This adjustment was recorded as an increase to deferred tax liabilities and a corresponding increase to goodwill. The adjustment was identified based on additional information obtained about facts and circumstances that existed as of the acquisition date and was accounted for retrospectively as a measurement period adjustment. As such, the adjustment was reflected as if it had been recorded at the acquisition date and did not impact the Company’s consolidated statements of operations or cash flows for the three and nine months ended September 30,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Acquisition was recorded as a business combination on a preliminary valuation of assets acquired and liabilities assumed at their acquisition date fair values using unobservable inputs that are supported by little or no market activity and are significant to their fair value of the assets and liabilities (“Level 3” inputs). We expect to complete our purchase price allocation, as well as our fair value estimate of the purchase price consideration as soon as reasonably possible, not to exceed one year from the acquisition date. Adjustments to the preliminary purchase price allocation could be material. Goodwill represent the excess of the purchase price consideration over the preliminary valuation of the net assets acquired.</w:t>
      </w:r>
    </w:p>
    <w:p>
      <w:pPr>
        <w:pStyle w:val="TextBody"/>
        <w:bidi w:val="0"/>
        <w:spacing w:before="0" w:after="0"/>
        <w:ind w:left="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26</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STREAMEX CORP.</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THE CONDENSED CONSOLIDATED FINANCIAL STATEMENTS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SEPTEMBER 30, 2025 </w:t>
      </w:r>
      <w:r>
        <w:rPr>
          <w:rFonts w:ascii="Times New Roman;Times;Serif" w:hAnsi="Times New Roman;Times;Serif"/>
          <w:b/>
          <w:i/>
          <w:caps w:val="false"/>
          <w:smallCaps w:val="false"/>
          <w:sz w:val="20"/>
        </w:rPr>
        <w:t>(</w:t>
      </w:r>
      <w:r>
        <w:rPr>
          <w:rFonts w:ascii="Times New Roman;Times;Serif" w:hAnsi="Times New Roman;Times;Serif"/>
          <w:b/>
          <w:i w:val="false"/>
          <w:caps w:val="false"/>
          <w:smallCaps w:val="false"/>
          <w:sz w:val="20"/>
        </w:rPr>
        <w:t>Unaudited</w:t>
      </w:r>
      <w:r>
        <w:rPr>
          <w:rFonts w:ascii="Times New Roman;Times;Serif" w:hAnsi="Times New Roman;Times;Serif"/>
          <w:b/>
          <w:i/>
          <w:caps w:val="false"/>
          <w:smallCaps w:val="false"/>
          <w:sz w:val="20"/>
        </w:rPr>
        <w: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September 30, 2025, the purchase price allocation remains preliminary. The Company is continuing to assess the fair values of certain identifiable intangible assets and contingent liabilities, including the potential adjustment to Exchangeable Shares in the event shareholder approval is not obtained. As the shareholder vote had not occurred as of September 30, 2025, the related contingency remains unresolved and subject to final valuation.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4, 2025 the Company received shareholder approval for the issuance of our shares of common stock exchangeable for Exchangeable Shares and one share of Special Voting Preferred Stock in connection with the Agreement. As a result, the conversion cap was removed, and Streamex Exchange shareholders may now convert their Exchangeable Shares into the Company’s common stock. Concurrently, the derivative liability associated with the Exchangeable Shares was reclassified to permanent equity.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Pro-Forma Financial Information (Unaudited)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unaudited pro forma information presents the consolidated results of Streamex Exchange included in the Company’s unaudited condensed consolidated statement of operations and comprehensive loss for the nine months ended September 30, 2025, as if the acquisition was made on January 1, 2025, and operations for the three and nine months ended September 30, 2024, as if the Acquisition had occurred on April 5, 2024, the date of inception of Streamex Exchange. The unaudited pro forma information is presented for illustrative purposes only. It is not necessarily indicative of the results of operations of future periods, or the results of operations that actually would have been realized had the entities been a single company during the periods presented or the results that the combined company will experience after the acquisition. The unaudited pro forma information does not give effect to the potential impact of current financial conditions, regulatory matters or any anticipated synergies, operating efficiencies or cost savings that may be associated with the acquisition. The unaudited pro forma information also does not include any integration costs or remaining future transaction costs that the companies may incur related to the acquisition as part of combining the operations of the companies.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1074" w:name="xdx_895_eus-gaap--BusinessAcquisitionPro"/>
      <w:bookmarkEnd w:id="1074"/>
      <w:r>
        <w:rPr>
          <w:rFonts w:ascii="Times New Roman;Times;Serif" w:hAnsi="Times New Roman;Times;Serif"/>
          <w:b w:val="false"/>
          <w:i w:val="false"/>
          <w:caps w:val="false"/>
          <w:smallCaps w:val="false"/>
          <w:sz w:val="20"/>
        </w:rPr>
        <w:t>The unaudited pro forma consolidated results of revenue and net loss, assuming the acquisition had occurred on January 1, 2025, is as follows:</w:t>
      </w:r>
    </w:p>
    <w:p>
      <w:pPr>
        <w:pStyle w:val="TextBody"/>
        <w:bidi w:val="0"/>
        <w:spacing w:before="0" w:after="0"/>
        <w:ind w:left="0" w:right="0" w:hanging="0"/>
        <w:jc w:val="both"/>
        <w:rPr>
          <w:caps w:val="false"/>
          <w:smallCaps w:val="false"/>
        </w:rPr>
      </w:pPr>
      <w:r>
        <w:rPr>
          <w:caps w:val="false"/>
          <w:smallCaps w:val="false"/>
        </w:rPr>
        <w:t> </w:t>
      </w:r>
      <w:bookmarkStart w:id="1075" w:name="xdx_8BB_z16OrtQH1c63"/>
      <w:bookmarkEnd w:id="1075"/>
      <w:r>
        <w:rPr>
          <w:rFonts w:ascii="Times New Roman;Times;Serif" w:hAnsi="Times New Roman;Times;Serif"/>
          <w:b w:val="false"/>
          <w:i w:val="false"/>
          <w:caps w:val="false"/>
          <w:smallCaps w:val="false"/>
          <w:sz w:val="20"/>
        </w:rPr>
        <w:t>SCHEDULE OF UNAUDITED PRO FORMA CONSOLIDATED RESULTS OF REVENUE AND NET LOSS</w:t>
      </w:r>
    </w:p>
    <w:tbl>
      <w:tblPr>
        <w:tblW w:w="5984" w:type="dxa"/>
        <w:jc w:val="left"/>
        <w:tblInd w:w="0" w:type="dxa"/>
        <w:tblLayout w:type="fixed"/>
        <w:tblCellMar>
          <w:top w:w="0" w:type="dxa"/>
          <w:left w:w="0" w:type="dxa"/>
          <w:bottom w:w="0" w:type="dxa"/>
          <w:right w:w="0" w:type="dxa"/>
        </w:tblCellMar>
      </w:tblPr>
      <w:tblGrid>
        <w:gridCol w:w="875"/>
        <w:gridCol w:w="60"/>
        <w:gridCol w:w="772"/>
        <w:gridCol w:w="4167"/>
        <w:gridCol w:w="110"/>
      </w:tblGrid>
      <w:tr>
        <w:trPr/>
        <w:tc>
          <w:tcPr>
            <w:tcW w:w="87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bookmarkStart w:id="1076" w:name="xdx_49A_20250101__20250930_zb5CaSCYW00d"/>
            <w:bookmarkEnd w:id="1076"/>
          </w:p>
        </w:tc>
        <w:tc>
          <w:tcPr>
            <w:tcW w:w="493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For the Nine Months Ended September 30, 2025</w:t>
            </w:r>
          </w:p>
        </w:tc>
        <w:tc>
          <w:tcPr>
            <w:tcW w:w="110" w:type="dxa"/>
            <w:tcBorders/>
            <w:vAlign w:val="center"/>
          </w:tcPr>
          <w:p>
            <w:pPr>
              <w:pStyle w:val="TableContents"/>
              <w:bidi w:val="0"/>
              <w:spacing w:before="0" w:after="283"/>
              <w:jc w:val="left"/>
              <w:rPr/>
            </w:pPr>
            <w:r>
              <w:rPr/>
              <w:t> </w:t>
            </w:r>
            <w:bookmarkStart w:id="1077" w:name="xdx_40A_eus-gaap--BusinessAcquisitionsPr"/>
            <w:bookmarkEnd w:id="1077"/>
          </w:p>
        </w:tc>
      </w:tr>
      <w:tr>
        <w:trPr/>
        <w:tc>
          <w:tcPr>
            <w:tcW w:w="875" w:type="dxa"/>
            <w:tcBorders/>
            <w:shd w:fill="CCEEFF" w:val="clear"/>
            <w:vAlign w:val="center"/>
          </w:tcPr>
          <w:p>
            <w:pPr>
              <w:pStyle w:val="TableContents"/>
              <w:bidi w:val="0"/>
              <w:spacing w:before="0" w:after="283"/>
              <w:jc w:val="both"/>
              <w:rPr/>
            </w:pPr>
            <w:r>
              <w:rPr/>
              <w:t>Revenue</w:t>
            </w:r>
          </w:p>
        </w:tc>
        <w:tc>
          <w:tcPr>
            <w:tcW w:w="60" w:type="dxa"/>
            <w:tcBorders/>
            <w:shd w:fill="CCEEFF" w:val="clear"/>
            <w:vAlign w:val="center"/>
          </w:tcPr>
          <w:p>
            <w:pPr>
              <w:pStyle w:val="TableContents"/>
              <w:bidi w:val="0"/>
              <w:spacing w:before="0" w:after="283"/>
              <w:jc w:val="left"/>
              <w:rPr/>
            </w:pPr>
            <w:r>
              <w:rPr/>
              <w:t> </w:t>
            </w:r>
          </w:p>
        </w:tc>
        <w:tc>
          <w:tcPr>
            <w:tcW w:w="772"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4167" w:type="dxa"/>
            <w:tcBorders>
              <w:bottom w:val="single" w:sz="8" w:space="0" w:color="000000"/>
            </w:tcBorders>
            <w:shd w:fill="CCEEFF" w:val="clear"/>
            <w:tcMar>
              <w:bottom w:w="28" w:type="dxa"/>
            </w:tcMar>
            <w:vAlign w:val="center"/>
          </w:tcPr>
          <w:p>
            <w:pPr>
              <w:pStyle w:val="TableContents"/>
              <w:bidi w:val="0"/>
              <w:spacing w:before="0" w:after="283"/>
              <w:jc w:val="right"/>
              <w:rPr/>
            </w:pPr>
            <w:r>
              <w:rPr/>
              <w:t>200</w:t>
            </w:r>
          </w:p>
        </w:tc>
        <w:tc>
          <w:tcPr>
            <w:tcW w:w="110" w:type="dxa"/>
            <w:tcBorders/>
            <w:shd w:fill="CCEEFF" w:val="clear"/>
            <w:vAlign w:val="center"/>
          </w:tcPr>
          <w:p>
            <w:pPr>
              <w:pStyle w:val="TableContents"/>
              <w:bidi w:val="0"/>
              <w:spacing w:before="0" w:after="283"/>
              <w:jc w:val="left"/>
              <w:rPr/>
            </w:pPr>
            <w:r>
              <w:rPr/>
              <w:t> </w:t>
            </w:r>
            <w:bookmarkStart w:id="1078" w:name="xdx_409_eus-gaap--BusinessAcquisitionsPr"/>
            <w:bookmarkEnd w:id="1078"/>
          </w:p>
        </w:tc>
      </w:tr>
      <w:tr>
        <w:trPr/>
        <w:tc>
          <w:tcPr>
            <w:tcW w:w="875" w:type="dxa"/>
            <w:tcBorders/>
            <w:shd w:fill="FFFFFF" w:val="clear"/>
            <w:vAlign w:val="center"/>
          </w:tcPr>
          <w:p>
            <w:pPr>
              <w:pStyle w:val="TableContents"/>
              <w:bidi w:val="0"/>
              <w:spacing w:before="0" w:after="283"/>
              <w:jc w:val="both"/>
              <w:rPr/>
            </w:pPr>
            <w:r>
              <w:rPr/>
              <w:t>Net loss</w:t>
            </w:r>
          </w:p>
        </w:tc>
        <w:tc>
          <w:tcPr>
            <w:tcW w:w="60" w:type="dxa"/>
            <w:tcBorders/>
            <w:shd w:fill="FFFFFF" w:val="clear"/>
            <w:vAlign w:val="center"/>
          </w:tcPr>
          <w:p>
            <w:pPr>
              <w:pStyle w:val="TableContents"/>
              <w:bidi w:val="0"/>
              <w:spacing w:before="0" w:after="283"/>
              <w:jc w:val="left"/>
              <w:rPr/>
            </w:pPr>
            <w:r>
              <w:rPr/>
              <w:t> </w:t>
            </w:r>
          </w:p>
        </w:tc>
        <w:tc>
          <w:tcPr>
            <w:tcW w:w="772"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4167" w:type="dxa"/>
            <w:tcBorders>
              <w:bottom w:val="double" w:sz="6" w:space="0" w:color="000000"/>
            </w:tcBorders>
            <w:shd w:fill="FFFFFF" w:val="clear"/>
            <w:tcMar>
              <w:bottom w:w="28" w:type="dxa"/>
            </w:tcMar>
            <w:vAlign w:val="center"/>
          </w:tcPr>
          <w:p>
            <w:pPr>
              <w:pStyle w:val="TableContents"/>
              <w:bidi w:val="0"/>
              <w:spacing w:before="0" w:after="283"/>
              <w:jc w:val="right"/>
              <w:rPr/>
            </w:pPr>
            <w:r>
              <w:rPr/>
              <w:t>(42,098</w:t>
            </w:r>
          </w:p>
        </w:tc>
        <w:tc>
          <w:tcPr>
            <w:tcW w:w="110" w:type="dxa"/>
            <w:tcBorders/>
            <w:shd w:fill="FFFF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unaudited pro forma consolidated results of revenue and net loss, assuming the acquisitions had occurred on April 1, 2024, the date of inception of Streamex Exchange, is as follows:</w:t>
      </w:r>
    </w:p>
    <w:p>
      <w:pPr>
        <w:pStyle w:val="TextBody"/>
        <w:bidi w:val="0"/>
        <w:spacing w:before="0" w:after="0"/>
        <w:ind w:left="0" w:right="0" w:hanging="0"/>
        <w:jc w:val="both"/>
        <w:rPr>
          <w:caps w:val="false"/>
          <w:smallCaps w:val="false"/>
        </w:rPr>
      </w:pPr>
      <w:r>
        <w:rPr>
          <w:caps w:val="false"/>
          <w:smallCaps w:val="false"/>
        </w:rPr>
        <w:t> </w:t>
      </w:r>
    </w:p>
    <w:tbl>
      <w:tblPr>
        <w:tblW w:w="10133" w:type="dxa"/>
        <w:jc w:val="left"/>
        <w:tblInd w:w="0" w:type="dxa"/>
        <w:tblLayout w:type="fixed"/>
        <w:tblCellMar>
          <w:top w:w="0" w:type="dxa"/>
          <w:left w:w="0" w:type="dxa"/>
          <w:bottom w:w="0" w:type="dxa"/>
          <w:right w:w="0" w:type="dxa"/>
        </w:tblCellMar>
      </w:tblPr>
      <w:tblGrid>
        <w:gridCol w:w="875"/>
        <w:gridCol w:w="60"/>
        <w:gridCol w:w="817"/>
        <w:gridCol w:w="3717"/>
        <w:gridCol w:w="95"/>
        <w:gridCol w:w="60"/>
        <w:gridCol w:w="686"/>
        <w:gridCol w:w="3713"/>
        <w:gridCol w:w="110"/>
      </w:tblGrid>
      <w:tr>
        <w:trPr/>
        <w:tc>
          <w:tcPr>
            <w:tcW w:w="87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bookmarkStart w:id="1079" w:name="xdx_494_20240701__20240930_zxZELcUyXzD8"/>
            <w:bookmarkEnd w:id="1079"/>
          </w:p>
        </w:tc>
        <w:tc>
          <w:tcPr>
            <w:tcW w:w="4534" w:type="dxa"/>
            <w:gridSpan w:val="2"/>
            <w:tcBorders/>
            <w:vAlign w:val="center"/>
          </w:tcPr>
          <w:p>
            <w:pPr>
              <w:pStyle w:val="TableContents"/>
              <w:bidi w:val="0"/>
              <w:spacing w:before="0" w:after="283"/>
              <w:jc w:val="center"/>
              <w:rPr>
                <w:b/>
              </w:rPr>
            </w:pPr>
            <w:r>
              <w:rPr>
                <w:b/>
              </w:rPr>
              <w:t>For the Three Months Ended September 30,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080" w:name="xdx_497_20240101__20240930_zbaI4O3gdAp5"/>
            <w:bookmarkEnd w:id="1080"/>
          </w:p>
        </w:tc>
        <w:tc>
          <w:tcPr>
            <w:tcW w:w="4399" w:type="dxa"/>
            <w:gridSpan w:val="2"/>
            <w:tcBorders/>
            <w:vAlign w:val="center"/>
          </w:tcPr>
          <w:p>
            <w:pPr>
              <w:pStyle w:val="TableContents"/>
              <w:bidi w:val="0"/>
              <w:spacing w:before="0" w:after="283"/>
              <w:jc w:val="center"/>
              <w:rPr>
                <w:b/>
              </w:rPr>
            </w:pPr>
            <w:r>
              <w:rPr>
                <w:b/>
              </w:rPr>
              <w:t>For the Nine Months Ended September 30,</w:t>
            </w:r>
          </w:p>
        </w:tc>
        <w:tc>
          <w:tcPr>
            <w:tcW w:w="110" w:type="dxa"/>
            <w:tcBorders/>
            <w:vAlign w:val="center"/>
          </w:tcPr>
          <w:p>
            <w:pPr>
              <w:pStyle w:val="TableContents"/>
              <w:bidi w:val="0"/>
              <w:spacing w:before="0" w:after="283"/>
              <w:jc w:val="left"/>
              <w:rPr/>
            </w:pPr>
            <w:r>
              <w:rPr/>
              <w:t> </w:t>
            </w:r>
          </w:p>
        </w:tc>
      </w:tr>
      <w:tr>
        <w:trPr/>
        <w:tc>
          <w:tcPr>
            <w:tcW w:w="87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453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439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110" w:type="dxa"/>
            <w:tcBorders/>
            <w:vAlign w:val="center"/>
          </w:tcPr>
          <w:p>
            <w:pPr>
              <w:pStyle w:val="TableContents"/>
              <w:bidi w:val="0"/>
              <w:spacing w:before="0" w:after="283"/>
              <w:jc w:val="center"/>
              <w:rPr/>
            </w:pPr>
            <w:r>
              <w:rPr/>
              <w:t> </w:t>
            </w:r>
            <w:bookmarkStart w:id="1081" w:name="xdx_40A_eus-gaap--BusinessAcquisitionsPr"/>
            <w:bookmarkEnd w:id="1081"/>
          </w:p>
        </w:tc>
      </w:tr>
      <w:tr>
        <w:trPr/>
        <w:tc>
          <w:tcPr>
            <w:tcW w:w="875" w:type="dxa"/>
            <w:tcBorders/>
            <w:shd w:fill="CCEEFF" w:val="clear"/>
            <w:vAlign w:val="center"/>
          </w:tcPr>
          <w:p>
            <w:pPr>
              <w:pStyle w:val="TableContents"/>
              <w:bidi w:val="0"/>
              <w:spacing w:before="0" w:after="283"/>
              <w:jc w:val="both"/>
              <w:rPr/>
            </w:pPr>
            <w:r>
              <w:rPr/>
              <w:t>Revenue</w:t>
            </w:r>
          </w:p>
        </w:tc>
        <w:tc>
          <w:tcPr>
            <w:tcW w:w="60" w:type="dxa"/>
            <w:tcBorders/>
            <w:shd w:fill="CCEEFF" w:val="clear"/>
            <w:vAlign w:val="center"/>
          </w:tcPr>
          <w:p>
            <w:pPr>
              <w:pStyle w:val="TableContents"/>
              <w:bidi w:val="0"/>
              <w:spacing w:before="0" w:after="283"/>
              <w:jc w:val="left"/>
              <w:rPr/>
            </w:pPr>
            <w:r>
              <w:rPr/>
              <w:t> </w:t>
            </w:r>
          </w:p>
        </w:tc>
        <w:tc>
          <w:tcPr>
            <w:tcW w:w="817"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3717"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6"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3713" w:type="dxa"/>
            <w:tcBorders>
              <w:bottom w:val="single" w:sz="8" w:space="0" w:color="000000"/>
            </w:tcBorders>
            <w:shd w:fill="CCEEFF" w:val="clear"/>
            <w:tcMar>
              <w:bottom w:w="28" w:type="dxa"/>
            </w:tcMar>
            <w:vAlign w:val="center"/>
          </w:tcPr>
          <w:p>
            <w:pPr>
              <w:pStyle w:val="TableContents"/>
              <w:bidi w:val="0"/>
              <w:spacing w:before="0" w:after="283"/>
              <w:jc w:val="right"/>
              <w:rPr/>
            </w:pPr>
            <w:r>
              <w:rPr/>
              <w:t>27</w:t>
            </w:r>
          </w:p>
        </w:tc>
        <w:tc>
          <w:tcPr>
            <w:tcW w:w="110" w:type="dxa"/>
            <w:tcBorders/>
            <w:shd w:fill="CCEEFF" w:val="clear"/>
            <w:vAlign w:val="center"/>
          </w:tcPr>
          <w:p>
            <w:pPr>
              <w:pStyle w:val="TableContents"/>
              <w:bidi w:val="0"/>
              <w:spacing w:before="0" w:after="283"/>
              <w:jc w:val="left"/>
              <w:rPr/>
            </w:pPr>
            <w:r>
              <w:rPr/>
              <w:t> </w:t>
            </w:r>
            <w:bookmarkStart w:id="1082" w:name="xdx_409_eus-gaap--BusinessAcquisitionsPr"/>
            <w:bookmarkEnd w:id="1082"/>
          </w:p>
        </w:tc>
      </w:tr>
      <w:tr>
        <w:trPr/>
        <w:tc>
          <w:tcPr>
            <w:tcW w:w="875" w:type="dxa"/>
            <w:tcBorders/>
            <w:shd w:fill="FFFFFF" w:val="clear"/>
            <w:vAlign w:val="center"/>
          </w:tcPr>
          <w:p>
            <w:pPr>
              <w:pStyle w:val="TableContents"/>
              <w:bidi w:val="0"/>
              <w:spacing w:before="0" w:after="283"/>
              <w:jc w:val="both"/>
              <w:rPr/>
            </w:pPr>
            <w:r>
              <w:rPr/>
              <w:t>Net loss</w:t>
            </w:r>
          </w:p>
        </w:tc>
        <w:tc>
          <w:tcPr>
            <w:tcW w:w="60" w:type="dxa"/>
            <w:tcBorders/>
            <w:shd w:fill="FFFFFF" w:val="clear"/>
            <w:vAlign w:val="center"/>
          </w:tcPr>
          <w:p>
            <w:pPr>
              <w:pStyle w:val="TableContents"/>
              <w:bidi w:val="0"/>
              <w:spacing w:before="0" w:after="283"/>
              <w:jc w:val="left"/>
              <w:rPr/>
            </w:pPr>
            <w:r>
              <w:rPr/>
              <w:t> </w:t>
            </w:r>
          </w:p>
        </w:tc>
        <w:tc>
          <w:tcPr>
            <w:tcW w:w="817"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3717" w:type="dxa"/>
            <w:tcBorders>
              <w:bottom w:val="double" w:sz="6" w:space="0" w:color="000000"/>
            </w:tcBorders>
            <w:shd w:fill="FFFFFF" w:val="clear"/>
            <w:tcMar>
              <w:bottom w:w="28" w:type="dxa"/>
            </w:tcMar>
            <w:vAlign w:val="center"/>
          </w:tcPr>
          <w:p>
            <w:pPr>
              <w:pStyle w:val="TableContents"/>
              <w:bidi w:val="0"/>
              <w:spacing w:before="0" w:after="283"/>
              <w:jc w:val="right"/>
              <w:rPr/>
            </w:pPr>
            <w:r>
              <w:rPr/>
              <w:t>(4,038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86"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3713" w:type="dxa"/>
            <w:tcBorders>
              <w:bottom w:val="double" w:sz="6" w:space="0" w:color="000000"/>
            </w:tcBorders>
            <w:shd w:fill="FFFFFF" w:val="clear"/>
            <w:tcMar>
              <w:bottom w:w="28" w:type="dxa"/>
            </w:tcMar>
            <w:vAlign w:val="center"/>
          </w:tcPr>
          <w:p>
            <w:pPr>
              <w:pStyle w:val="TableContents"/>
              <w:bidi w:val="0"/>
              <w:spacing w:before="0" w:after="283"/>
              <w:jc w:val="right"/>
              <w:rPr/>
            </w:pPr>
            <w:r>
              <w:rPr/>
              <w:t>(20,753</w:t>
            </w:r>
          </w:p>
        </w:tc>
        <w:tc>
          <w:tcPr>
            <w:tcW w:w="110" w:type="dxa"/>
            <w:tcBorders/>
            <w:shd w:fill="FFFF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bookmarkStart w:id="1083" w:name="xdx_8A0_zhAuRzz6QdYd"/>
      <w:bookmarkEnd w:id="1083"/>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unaudited pro forma results for the nine months ended September 30, 2025, include material nonrecurring adjustments of $2,297 related to the amortization of intangible assets acquired in connection with the Streamex Exchange acquisition, and $609 related to income tax benefit recognized from the deferred tax liability acquired in connection with the Streamex Exchange acquisition.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unaudited pro forma results for the three months ended September 30, 2024, include material nonrecurring adjustments of $</w:t>
      </w:r>
      <w:bookmarkStart w:id="1084" w:name="xdx_900_eus-gaap--AmortizationOfIntangib"/>
      <w:bookmarkEnd w:id="1084"/>
      <w:r>
        <w:rPr>
          <w:rFonts w:ascii="Times New Roman;Times;Serif" w:hAnsi="Times New Roman;Times;Serif"/>
          <w:b w:val="false"/>
          <w:i w:val="false"/>
          <w:caps w:val="false"/>
          <w:smallCaps w:val="false"/>
          <w:sz w:val="20"/>
        </w:rPr>
        <w:t>1,477 related to the amortization of intangible assets acquired in connection with the Streamex Exchange acquisition, and $</w:t>
      </w:r>
      <w:bookmarkStart w:id="1085" w:name="xdx_904_eus-gaap--IncomeTaxExpenseBenefi"/>
      <w:bookmarkEnd w:id="1085"/>
      <w:r>
        <w:rPr>
          <w:rFonts w:ascii="Times New Roman;Times;Serif" w:hAnsi="Times New Roman;Times;Serif"/>
          <w:b w:val="false"/>
          <w:i w:val="false"/>
          <w:caps w:val="false"/>
          <w:smallCaps w:val="false"/>
          <w:sz w:val="20"/>
        </w:rPr>
        <w:t>391 related to income tax benefit recognized from the deferred tax liability acquired in connection with the Streamex Exchange acquisition.</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unaudited pro forma results for the nine months ended September 30, 2024, include material nonrecurring adjustments of $</w:t>
      </w:r>
      <w:bookmarkStart w:id="1086" w:name="xdx_90B_eus-gaap--AmortizationOfIntangib"/>
      <w:bookmarkEnd w:id="1086"/>
      <w:r>
        <w:rPr>
          <w:rFonts w:ascii="Times New Roman;Times;Serif" w:hAnsi="Times New Roman;Times;Serif"/>
          <w:b w:val="false"/>
          <w:i w:val="false"/>
          <w:caps w:val="false"/>
          <w:smallCaps w:val="false"/>
          <w:sz w:val="20"/>
        </w:rPr>
        <w:t>2,963 related to the amortization of intangible assets acquired in connection with the Streamex Exchange acquisition, $</w:t>
      </w:r>
      <w:bookmarkStart w:id="1087" w:name="xdx_90D_eus-gaap--IncomeTaxExpenseBenefi"/>
      <w:bookmarkEnd w:id="1087"/>
      <w:r>
        <w:rPr>
          <w:rFonts w:ascii="Times New Roman;Times;Serif" w:hAnsi="Times New Roman;Times;Serif"/>
          <w:b w:val="false"/>
          <w:i w:val="false"/>
          <w:caps w:val="false"/>
          <w:smallCaps w:val="false"/>
          <w:sz w:val="20"/>
        </w:rPr>
        <w:t>785 related to income tax benefit recognized from the deferred tax liability acquired in connection with the Streamex Exchange acquisition, $</w:t>
      </w:r>
      <w:bookmarkStart w:id="1088" w:name="xdx_907_ecustom--AccruedFindersFees_iI_c"/>
      <w:bookmarkEnd w:id="1088"/>
      <w:r>
        <w:rPr>
          <w:rFonts w:ascii="Times New Roman;Times;Serif" w:hAnsi="Times New Roman;Times;Serif"/>
          <w:b w:val="false"/>
          <w:i w:val="false"/>
          <w:caps w:val="false"/>
          <w:smallCaps w:val="false"/>
          <w:sz w:val="20"/>
        </w:rPr>
        <w:t>6,026 related to the finders fees incurred and earned upon closing of the transaction, $</w:t>
      </w:r>
      <w:bookmarkStart w:id="1089" w:name="xdx_903_eus-gaap--SeveranceCosts1_c20240"/>
      <w:bookmarkEnd w:id="1089"/>
      <w:r>
        <w:rPr>
          <w:rFonts w:ascii="Times New Roman;Times;Serif" w:hAnsi="Times New Roman;Times;Serif"/>
          <w:b w:val="false"/>
          <w:i w:val="false"/>
          <w:caps w:val="false"/>
          <w:smallCaps w:val="false"/>
          <w:sz w:val="20"/>
        </w:rPr>
        <w:t>400 of severance expense related to the resignation of the Company’s former CEO following the acquisition, and $</w:t>
      </w:r>
      <w:bookmarkStart w:id="1090" w:name="xdx_903_eus-gaap--StockIssuedDuringPerio"/>
      <w:bookmarkEnd w:id="1090"/>
      <w:r>
        <w:rPr>
          <w:rFonts w:ascii="Times New Roman;Times;Serif" w:hAnsi="Times New Roman;Times;Serif"/>
          <w:b w:val="false"/>
          <w:i w:val="false"/>
          <w:caps w:val="false"/>
          <w:smallCaps w:val="false"/>
          <w:sz w:val="20"/>
        </w:rPr>
        <w:t xml:space="preserve">1,010 related to the issuance of </w:t>
      </w:r>
      <w:bookmarkStart w:id="1091" w:name="xdx_904_eus-gaap--StockIssuedDuringPerio"/>
      <w:bookmarkEnd w:id="1091"/>
      <w:r>
        <w:rPr>
          <w:rFonts w:ascii="Times New Roman;Times;Serif" w:hAnsi="Times New Roman;Times;Serif"/>
          <w:b w:val="false"/>
          <w:i w:val="false"/>
          <w:caps w:val="false"/>
          <w:smallCaps w:val="false"/>
          <w:sz w:val="20"/>
        </w:rPr>
        <w:t>200,000 shares of the Company’s common stock to a consultant in lieu of cash compensation in connection with the acquisition.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nine months ended September 30, 2025, the operating activities of Streamex Exchange included in the Company’s unaudited condensed consolidated statement of operations and comprehensive loss were insignificant to the Company’s financial results.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three months ended September 30, 2025 the operating activities of Streamex Exchange are fully reflected in the Company’s unaudited condensed consolidated statement of operations and comprehensive loss.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092" w:name="xdx_80E_eus-gaap--FairValueDisclosuresTe"/>
      <w:bookmarkEnd w:id="1092"/>
      <w:r>
        <w:rPr>
          <w:rFonts w:ascii="Times New Roman;Times;Serif" w:hAnsi="Times New Roman;Times;Serif"/>
          <w:b/>
          <w:i w:val="false"/>
          <w:caps w:val="false"/>
          <w:smallCaps w:val="false"/>
          <w:sz w:val="20"/>
        </w:rPr>
        <w:t xml:space="preserve">NOTE 14 – </w:t>
      </w:r>
      <w:bookmarkStart w:id="1093" w:name="xdx_82E_zdiqHtsAWGnb"/>
      <w:bookmarkEnd w:id="1093"/>
      <w:r>
        <w:rPr>
          <w:rFonts w:ascii="Times New Roman;Times;Serif" w:hAnsi="Times New Roman;Times;Serif"/>
          <w:b/>
          <w:i w:val="false"/>
          <w:caps w:val="false"/>
          <w:smallCaps w:val="false"/>
          <w:sz w:val="20"/>
        </w:rPr>
        <w:t>FAIR VALUE MEASUREMENTS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measures certain financial instruments at fair value on a recurring basis in accordance with ASC 820, Fair Value Measurement. Fair value is defined as the price that would be received to sell an asset or paid to transfer a liability in an orderly transaction between market participants at the measurement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Assets and liabilities that are measured at fair value on a nonrecurring basis relate primarily to tangible property and equipment, goodwill and other intangible assets, which are remeasured when the derived fair value is below carrying value in the consolidated balance sheets. For these assets, the Company does not periodically adjust carrying value to fair value except in the event of impairment. If it is determined that impairment has occurred, the carrying value of the asset is reduced to fair value and the difference is included in impairments and other charges, net in the consolidated statements of operations.</w:t>
      </w:r>
    </w:p>
    <w:p>
      <w:pPr>
        <w:pStyle w:val="TextBody"/>
        <w:bidi w:val="0"/>
        <w:spacing w:before="0" w:after="0"/>
        <w:ind w:left="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27</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STREAMEX CORP.</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THE CONDENSED CONSOLIDATED FINANCIAL STATEMENTS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SEPTEMBER 30, 2025 </w:t>
      </w:r>
      <w:r>
        <w:rPr>
          <w:rFonts w:ascii="Times New Roman;Times;Serif" w:hAnsi="Times New Roman;Times;Serif"/>
          <w:b/>
          <w:i/>
          <w:caps w:val="false"/>
          <w:smallCaps w:val="false"/>
          <w:sz w:val="20"/>
        </w:rPr>
        <w:t>(</w:t>
      </w:r>
      <w:r>
        <w:rPr>
          <w:rFonts w:ascii="Times New Roman;Times;Serif" w:hAnsi="Times New Roman;Times;Serif"/>
          <w:b/>
          <w:i w:val="false"/>
          <w:caps w:val="false"/>
          <w:smallCaps w:val="false"/>
          <w:sz w:val="20"/>
        </w:rPr>
        <w:t>Unaudited</w:t>
      </w:r>
      <w:r>
        <w:rPr>
          <w:rFonts w:ascii="Times New Roman;Times;Serif" w:hAnsi="Times New Roman;Times;Serif"/>
          <w:b/>
          <w:i/>
          <w:caps w:val="false"/>
          <w:smallCaps w:val="false"/>
          <w:sz w:val="20"/>
        </w:rPr>
        <w: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1094" w:name="xdx_896_eus-gaap--FairValueAssetsMeasure"/>
      <w:bookmarkEnd w:id="1094"/>
      <w:r>
        <w:rPr>
          <w:rFonts w:ascii="Times New Roman;Times;Serif" w:hAnsi="Times New Roman;Times;Serif"/>
          <w:b w:val="false"/>
          <w:i w:val="false"/>
          <w:caps w:val="false"/>
          <w:smallCaps w:val="false"/>
          <w:sz w:val="20"/>
        </w:rPr>
        <w:t>Assets that are measured at fair value and classified as level 3 on a nonrecurring basis are as follows: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bookmarkStart w:id="1095" w:name="xdx_8BF_zSl8nOUP5IJc"/>
      <w:bookmarkEnd w:id="1095"/>
      <w:r>
        <w:rPr>
          <w:rFonts w:ascii="Times New Roman;Times;Serif" w:hAnsi="Times New Roman;Times;Serif"/>
          <w:b w:val="false"/>
          <w:i w:val="false"/>
          <w:caps w:val="false"/>
          <w:smallCaps w:val="false"/>
          <w:sz w:val="20"/>
        </w:rPr>
        <w:t>SUMMARY OF ASSETS MEASURED AT FAIR VALUE ON NONRECURRING BASIS</w:t>
      </w:r>
    </w:p>
    <w:tbl>
      <w:tblPr>
        <w:tblW w:w="4704" w:type="dxa"/>
        <w:jc w:val="left"/>
        <w:tblInd w:w="0" w:type="dxa"/>
        <w:tblLayout w:type="fixed"/>
        <w:tblCellMar>
          <w:top w:w="0" w:type="dxa"/>
          <w:left w:w="0" w:type="dxa"/>
          <w:bottom w:w="28" w:type="dxa"/>
          <w:right w:w="0" w:type="dxa"/>
        </w:tblCellMar>
      </w:tblPr>
      <w:tblGrid>
        <w:gridCol w:w="3215"/>
        <w:gridCol w:w="60"/>
        <w:gridCol w:w="231"/>
        <w:gridCol w:w="1123"/>
        <w:gridCol w:w="75"/>
      </w:tblGrid>
      <w:tr>
        <w:trPr/>
        <w:tc>
          <w:tcPr>
            <w:tcW w:w="3215" w:type="dxa"/>
            <w:tcBorders>
              <w:bottom w:val="single" w:sz="8" w:space="0" w:color="000000"/>
            </w:tcBorders>
            <w:vAlign w:val="center"/>
          </w:tcPr>
          <w:p>
            <w:pPr>
              <w:pStyle w:val="TableContents"/>
              <w:bidi w:val="0"/>
              <w:spacing w:before="0" w:after="283"/>
              <w:jc w:val="both"/>
              <w:rPr/>
            </w:pPr>
            <w:r>
              <w:rPr/>
              <w:t>Description</w:t>
            </w:r>
          </w:p>
        </w:tc>
        <w:tc>
          <w:tcPr>
            <w:tcW w:w="60" w:type="dxa"/>
            <w:tcBorders/>
            <w:tcMar>
              <w:bottom w:w="0" w:type="dxa"/>
            </w:tcMar>
            <w:vAlign w:val="center"/>
          </w:tcPr>
          <w:p>
            <w:pPr>
              <w:pStyle w:val="TableContents"/>
              <w:bidi w:val="0"/>
              <w:spacing w:before="0" w:after="283"/>
              <w:jc w:val="left"/>
              <w:rPr/>
            </w:pPr>
            <w:r>
              <w:rPr/>
              <w:t> </w:t>
            </w:r>
            <w:bookmarkStart w:id="1096" w:name="xdx_495_20250528__us-gaap--FairValueByFa"/>
            <w:bookmarkEnd w:id="1096"/>
          </w:p>
        </w:tc>
        <w:tc>
          <w:tcPr>
            <w:tcW w:w="1354" w:type="dxa"/>
            <w:gridSpan w:val="2"/>
            <w:tcBorders>
              <w:bottom w:val="single" w:sz="8" w:space="0" w:color="000000"/>
            </w:tcBorders>
            <w:vAlign w:val="center"/>
          </w:tcPr>
          <w:p>
            <w:pPr>
              <w:pStyle w:val="TableContents"/>
              <w:bidi w:val="0"/>
              <w:spacing w:before="0" w:after="283"/>
              <w:jc w:val="center"/>
              <w:rPr/>
            </w:pPr>
            <w:r>
              <w:rPr/>
              <w:t>May 28, 2025</w:t>
            </w:r>
          </w:p>
        </w:tc>
        <w:tc>
          <w:tcPr>
            <w:tcW w:w="75" w:type="dxa"/>
            <w:tcBorders/>
            <w:tcMar>
              <w:bottom w:w="0" w:type="dxa"/>
            </w:tcMar>
            <w:vAlign w:val="center"/>
          </w:tcPr>
          <w:p>
            <w:pPr>
              <w:pStyle w:val="TableContents"/>
              <w:bidi w:val="0"/>
              <w:spacing w:before="0" w:after="283"/>
              <w:jc w:val="left"/>
              <w:rPr/>
            </w:pPr>
            <w:r>
              <w:rPr/>
              <w:t> </w:t>
            </w:r>
            <w:bookmarkStart w:id="1097" w:name="xdx_40C_eus-gaap--FiniteLivedIntangibleA"/>
            <w:bookmarkEnd w:id="1097"/>
          </w:p>
        </w:tc>
      </w:tr>
      <w:tr>
        <w:trPr/>
        <w:tc>
          <w:tcPr>
            <w:tcW w:w="3215" w:type="dxa"/>
            <w:tcBorders/>
            <w:shd w:fill="CCEEFF" w:val="clear"/>
            <w:tcMar>
              <w:bottom w:w="0" w:type="dxa"/>
            </w:tcMar>
            <w:vAlign w:val="center"/>
          </w:tcPr>
          <w:p>
            <w:pPr>
              <w:pStyle w:val="TableContents"/>
              <w:bidi w:val="0"/>
              <w:spacing w:before="0" w:after="283"/>
              <w:jc w:val="both"/>
              <w:rPr/>
            </w:pPr>
            <w:r>
              <w:rPr/>
              <w:t>Trade name</w:t>
            </w:r>
          </w:p>
        </w:tc>
        <w:tc>
          <w:tcPr>
            <w:tcW w:w="60" w:type="dxa"/>
            <w:tcBorders/>
            <w:shd w:fill="CCEEFF" w:val="clear"/>
            <w:tcMar>
              <w:bottom w:w="0" w:type="dxa"/>
            </w:tcMar>
            <w:vAlign w:val="center"/>
          </w:tcPr>
          <w:p>
            <w:pPr>
              <w:pStyle w:val="TableContents"/>
              <w:bidi w:val="0"/>
              <w:spacing w:before="0" w:after="283"/>
              <w:jc w:val="left"/>
              <w:rPr/>
            </w:pPr>
            <w:r>
              <w:rPr/>
              <w:t> </w:t>
            </w:r>
          </w:p>
        </w:tc>
        <w:tc>
          <w:tcPr>
            <w:tcW w:w="231" w:type="dxa"/>
            <w:tcBorders/>
            <w:shd w:fill="CCEEFF" w:val="clear"/>
            <w:tcMar>
              <w:bottom w:w="0" w:type="dxa"/>
            </w:tcMar>
            <w:vAlign w:val="center"/>
          </w:tcPr>
          <w:p>
            <w:pPr>
              <w:pStyle w:val="TableContents"/>
              <w:bidi w:val="0"/>
              <w:spacing w:before="0" w:after="283"/>
              <w:jc w:val="left"/>
              <w:rPr/>
            </w:pPr>
            <w:r>
              <w:rPr/>
              <w:t>$</w:t>
            </w:r>
          </w:p>
        </w:tc>
        <w:tc>
          <w:tcPr>
            <w:tcW w:w="1123" w:type="dxa"/>
            <w:tcBorders/>
            <w:shd w:fill="CCEEFF" w:val="clear"/>
            <w:tcMar>
              <w:bottom w:w="0" w:type="dxa"/>
            </w:tcMar>
            <w:vAlign w:val="center"/>
          </w:tcPr>
          <w:p>
            <w:pPr>
              <w:pStyle w:val="TableContents"/>
              <w:bidi w:val="0"/>
              <w:spacing w:before="0" w:after="283"/>
              <w:jc w:val="right"/>
              <w:rPr/>
            </w:pPr>
            <w:r>
              <w:rPr/>
              <w:t>5,100</w:t>
            </w:r>
          </w:p>
        </w:tc>
        <w:tc>
          <w:tcPr>
            <w:tcW w:w="75" w:type="dxa"/>
            <w:tcBorders/>
            <w:shd w:fill="CCEEFF" w:val="clear"/>
            <w:tcMar>
              <w:bottom w:w="0" w:type="dxa"/>
            </w:tcMar>
            <w:vAlign w:val="center"/>
          </w:tcPr>
          <w:p>
            <w:pPr>
              <w:pStyle w:val="TableContents"/>
              <w:bidi w:val="0"/>
              <w:spacing w:before="0" w:after="283"/>
              <w:jc w:val="left"/>
              <w:rPr/>
            </w:pPr>
            <w:r>
              <w:rPr/>
              <w:t> </w:t>
            </w:r>
            <w:bookmarkStart w:id="1098" w:name="xdx_402_eus-gaap--FiniteLivedIntangibleA"/>
            <w:bookmarkEnd w:id="1098"/>
          </w:p>
        </w:tc>
      </w:tr>
      <w:tr>
        <w:trPr/>
        <w:tc>
          <w:tcPr>
            <w:tcW w:w="3215" w:type="dxa"/>
            <w:tcBorders/>
            <w:shd w:fill="FFFFFF" w:val="clear"/>
            <w:tcMar>
              <w:bottom w:w="0" w:type="dxa"/>
            </w:tcMar>
            <w:vAlign w:val="center"/>
          </w:tcPr>
          <w:p>
            <w:pPr>
              <w:pStyle w:val="TableContents"/>
              <w:bidi w:val="0"/>
              <w:spacing w:before="0" w:after="283"/>
              <w:jc w:val="both"/>
              <w:rPr/>
            </w:pPr>
            <w:r>
              <w:rPr/>
              <w:t>Developed technology</w:t>
            </w:r>
          </w:p>
        </w:tc>
        <w:tc>
          <w:tcPr>
            <w:tcW w:w="60" w:type="dxa"/>
            <w:tcBorders/>
            <w:shd w:fill="FFFFFF" w:val="clear"/>
            <w:tcMar>
              <w:bottom w:w="0" w:type="dxa"/>
            </w:tcMar>
            <w:vAlign w:val="center"/>
          </w:tcPr>
          <w:p>
            <w:pPr>
              <w:pStyle w:val="TableContents"/>
              <w:bidi w:val="0"/>
              <w:spacing w:before="0" w:after="283"/>
              <w:jc w:val="left"/>
              <w:rPr/>
            </w:pPr>
            <w:r>
              <w:rPr/>
              <w:t> </w:t>
            </w:r>
          </w:p>
        </w:tc>
        <w:tc>
          <w:tcPr>
            <w:tcW w:w="231" w:type="dxa"/>
            <w:tcBorders/>
            <w:shd w:fill="FFFFFF" w:val="clear"/>
            <w:tcMar>
              <w:bottom w:w="0" w:type="dxa"/>
            </w:tcMar>
            <w:vAlign w:val="center"/>
          </w:tcPr>
          <w:p>
            <w:pPr>
              <w:pStyle w:val="TableContents"/>
              <w:bidi w:val="0"/>
              <w:spacing w:before="0" w:after="283"/>
              <w:jc w:val="left"/>
              <w:rPr/>
            </w:pPr>
            <w:r>
              <w:rPr/>
              <w:t>$</w:t>
            </w:r>
          </w:p>
        </w:tc>
        <w:tc>
          <w:tcPr>
            <w:tcW w:w="1123" w:type="dxa"/>
            <w:tcBorders/>
            <w:shd w:fill="FFFFFF" w:val="clear"/>
            <w:tcMar>
              <w:bottom w:w="0" w:type="dxa"/>
            </w:tcMar>
            <w:vAlign w:val="center"/>
          </w:tcPr>
          <w:p>
            <w:pPr>
              <w:pStyle w:val="TableContents"/>
              <w:bidi w:val="0"/>
              <w:spacing w:before="0" w:after="283"/>
              <w:jc w:val="right"/>
              <w:rPr/>
            </w:pPr>
            <w:r>
              <w:rPr/>
              <w:t>40,000</w:t>
            </w:r>
          </w:p>
        </w:tc>
        <w:tc>
          <w:tcPr>
            <w:tcW w:w="75" w:type="dxa"/>
            <w:tcBorders/>
            <w:shd w:fill="FFFFFF" w:val="clear"/>
            <w:tcMar>
              <w:bottom w:w="0" w:type="dxa"/>
            </w:tcMar>
            <w:vAlign w:val="center"/>
          </w:tcPr>
          <w:p>
            <w:pPr>
              <w:pStyle w:val="TableContents"/>
              <w:bidi w:val="0"/>
              <w:spacing w:before="0" w:after="283"/>
              <w:jc w:val="left"/>
              <w:rPr/>
            </w:pPr>
            <w:r>
              <w:rPr/>
              <w:t> </w:t>
            </w:r>
            <w:bookmarkStart w:id="1099" w:name="xdx_405_eus-gaap--FiniteLivedIntangibleA"/>
            <w:bookmarkEnd w:id="1099"/>
          </w:p>
        </w:tc>
      </w:tr>
      <w:tr>
        <w:trPr/>
        <w:tc>
          <w:tcPr>
            <w:tcW w:w="3215" w:type="dxa"/>
            <w:tcBorders/>
            <w:shd w:fill="CCEEFF" w:val="clear"/>
            <w:tcMar>
              <w:bottom w:w="0" w:type="dxa"/>
            </w:tcMar>
            <w:vAlign w:val="center"/>
          </w:tcPr>
          <w:p>
            <w:pPr>
              <w:pStyle w:val="TableContents"/>
              <w:bidi w:val="0"/>
              <w:spacing w:before="0" w:after="283"/>
              <w:jc w:val="both"/>
              <w:rPr/>
            </w:pPr>
            <w:r>
              <w:rPr/>
              <w:t>Legal and compliance framework</w:t>
            </w:r>
          </w:p>
        </w:tc>
        <w:tc>
          <w:tcPr>
            <w:tcW w:w="60" w:type="dxa"/>
            <w:tcBorders/>
            <w:shd w:fill="CCEEFF" w:val="clear"/>
            <w:tcMar>
              <w:bottom w:w="0" w:type="dxa"/>
            </w:tcMar>
            <w:vAlign w:val="center"/>
          </w:tcPr>
          <w:p>
            <w:pPr>
              <w:pStyle w:val="TableContents"/>
              <w:bidi w:val="0"/>
              <w:spacing w:before="0" w:after="283"/>
              <w:jc w:val="left"/>
              <w:rPr/>
            </w:pPr>
            <w:r>
              <w:rPr/>
              <w:t> </w:t>
            </w:r>
          </w:p>
        </w:tc>
        <w:tc>
          <w:tcPr>
            <w:tcW w:w="231" w:type="dxa"/>
            <w:tcBorders/>
            <w:shd w:fill="CCEEFF" w:val="clear"/>
            <w:tcMar>
              <w:bottom w:w="0" w:type="dxa"/>
            </w:tcMar>
            <w:vAlign w:val="center"/>
          </w:tcPr>
          <w:p>
            <w:pPr>
              <w:pStyle w:val="TableContents"/>
              <w:bidi w:val="0"/>
              <w:spacing w:before="0" w:after="283"/>
              <w:jc w:val="left"/>
              <w:rPr/>
            </w:pPr>
            <w:r>
              <w:rPr/>
              <w:t>$</w:t>
            </w:r>
          </w:p>
        </w:tc>
        <w:tc>
          <w:tcPr>
            <w:tcW w:w="1123" w:type="dxa"/>
            <w:tcBorders/>
            <w:shd w:fill="CCEEFF" w:val="clear"/>
            <w:tcMar>
              <w:bottom w:w="0" w:type="dxa"/>
            </w:tcMar>
            <w:vAlign w:val="center"/>
          </w:tcPr>
          <w:p>
            <w:pPr>
              <w:pStyle w:val="TableContents"/>
              <w:bidi w:val="0"/>
              <w:spacing w:before="0" w:after="283"/>
              <w:jc w:val="right"/>
              <w:rPr/>
            </w:pPr>
            <w:r>
              <w:rPr/>
              <w:t>2,400</w:t>
            </w:r>
          </w:p>
        </w:tc>
        <w:tc>
          <w:tcPr>
            <w:tcW w:w="75" w:type="dxa"/>
            <w:tcBorders/>
            <w:shd w:fill="CCEEFF" w:val="clear"/>
            <w:tcMar>
              <w:bottom w:w="0" w:type="dxa"/>
            </w:tcMar>
            <w:vAlign w:val="center"/>
          </w:tcPr>
          <w:p>
            <w:pPr>
              <w:pStyle w:val="TableContents"/>
              <w:bidi w:val="0"/>
              <w:spacing w:before="0" w:after="283"/>
              <w:jc w:val="left"/>
              <w:rPr/>
            </w:pPr>
            <w:r>
              <w:rPr/>
              <w:t> </w:t>
            </w:r>
            <w:bookmarkStart w:id="1100" w:name="xdx_401_eus-gaap--FiniteLivedIntangibleA"/>
            <w:bookmarkEnd w:id="1100"/>
          </w:p>
        </w:tc>
      </w:tr>
      <w:tr>
        <w:trPr/>
        <w:tc>
          <w:tcPr>
            <w:tcW w:w="3215" w:type="dxa"/>
            <w:tcBorders/>
            <w:shd w:fill="CCEEFF" w:val="clear"/>
            <w:tcMar>
              <w:bottom w:w="0" w:type="dxa"/>
            </w:tcMar>
            <w:vAlign w:val="center"/>
          </w:tcPr>
          <w:p>
            <w:pPr>
              <w:pStyle w:val="TableContents"/>
              <w:bidi w:val="0"/>
              <w:spacing w:before="0" w:after="283"/>
              <w:jc w:val="both"/>
              <w:rPr/>
            </w:pPr>
            <w:r>
              <w:rPr/>
              <w:t>Fair value of intangible assets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231" w:type="dxa"/>
            <w:tcBorders/>
            <w:shd w:fill="CCEEFF" w:val="clear"/>
            <w:tcMar>
              <w:bottom w:w="0" w:type="dxa"/>
            </w:tcMar>
            <w:vAlign w:val="center"/>
          </w:tcPr>
          <w:p>
            <w:pPr>
              <w:pStyle w:val="TableContents"/>
              <w:bidi w:val="0"/>
              <w:spacing w:before="0" w:after="283"/>
              <w:jc w:val="left"/>
              <w:rPr/>
            </w:pPr>
            <w:r>
              <w:rPr/>
              <w:t>$</w:t>
            </w:r>
          </w:p>
        </w:tc>
        <w:tc>
          <w:tcPr>
            <w:tcW w:w="1123" w:type="dxa"/>
            <w:tcBorders/>
            <w:shd w:fill="CCEEFF" w:val="clear"/>
            <w:tcMar>
              <w:bottom w:w="0" w:type="dxa"/>
            </w:tcMar>
            <w:vAlign w:val="center"/>
          </w:tcPr>
          <w:p>
            <w:pPr>
              <w:pStyle w:val="TableContents"/>
              <w:bidi w:val="0"/>
              <w:spacing w:before="0" w:after="283"/>
              <w:jc w:val="right"/>
              <w:rPr/>
            </w:pPr>
            <w:r>
              <w:rPr/>
              <w:t>2,400</w:t>
            </w:r>
          </w:p>
        </w:tc>
        <w:tc>
          <w:tcPr>
            <w:tcW w:w="75" w:type="dxa"/>
            <w:tcBorders/>
            <w:shd w:fill="CCEEFF" w:val="clear"/>
            <w:tcMar>
              <w:bottom w:w="0" w:type="dxa"/>
            </w:tcMar>
            <w:vAlign w:val="center"/>
          </w:tcPr>
          <w:p>
            <w:pPr>
              <w:pStyle w:val="TableContents"/>
              <w:bidi w:val="0"/>
              <w:spacing w:before="0" w:after="283"/>
              <w:jc w:val="left"/>
              <w:rPr/>
            </w:pPr>
            <w:r>
              <w:rPr/>
              <w:t> </w:t>
            </w:r>
            <w:bookmarkStart w:id="1101" w:name="xdx_409_eus-gaap--GoodwillFairValueDiscl"/>
            <w:bookmarkEnd w:id="1101"/>
          </w:p>
        </w:tc>
      </w:tr>
      <w:tr>
        <w:trPr/>
        <w:tc>
          <w:tcPr>
            <w:tcW w:w="3215" w:type="dxa"/>
            <w:tcBorders/>
            <w:shd w:fill="FFFFFF" w:val="clear"/>
            <w:tcMar>
              <w:bottom w:w="0" w:type="dxa"/>
            </w:tcMar>
            <w:vAlign w:val="center"/>
          </w:tcPr>
          <w:p>
            <w:pPr>
              <w:pStyle w:val="TableContents"/>
              <w:bidi w:val="0"/>
              <w:spacing w:before="0" w:after="283"/>
              <w:jc w:val="both"/>
              <w:rPr/>
            </w:pPr>
            <w:r>
              <w:rPr/>
              <w:t>Goodwill</w:t>
            </w:r>
          </w:p>
        </w:tc>
        <w:tc>
          <w:tcPr>
            <w:tcW w:w="60" w:type="dxa"/>
            <w:tcBorders/>
            <w:shd w:fill="FFFFFF" w:val="clear"/>
            <w:tcMar>
              <w:bottom w:w="0" w:type="dxa"/>
            </w:tcMar>
            <w:vAlign w:val="center"/>
          </w:tcPr>
          <w:p>
            <w:pPr>
              <w:pStyle w:val="TableContents"/>
              <w:bidi w:val="0"/>
              <w:spacing w:before="0" w:after="283"/>
              <w:jc w:val="left"/>
              <w:rPr/>
            </w:pPr>
            <w:r>
              <w:rPr/>
              <w:t> </w:t>
            </w:r>
          </w:p>
        </w:tc>
        <w:tc>
          <w:tcPr>
            <w:tcW w:w="231" w:type="dxa"/>
            <w:tcBorders/>
            <w:shd w:fill="FFFFFF" w:val="clear"/>
            <w:tcMar>
              <w:bottom w:w="0" w:type="dxa"/>
            </w:tcMar>
            <w:vAlign w:val="center"/>
          </w:tcPr>
          <w:p>
            <w:pPr>
              <w:pStyle w:val="TableContents"/>
              <w:bidi w:val="0"/>
              <w:spacing w:before="0" w:after="283"/>
              <w:jc w:val="left"/>
              <w:rPr/>
            </w:pPr>
            <w:r>
              <w:rPr/>
              <w:t>$</w:t>
            </w:r>
          </w:p>
        </w:tc>
        <w:tc>
          <w:tcPr>
            <w:tcW w:w="1123" w:type="dxa"/>
            <w:tcBorders/>
            <w:shd w:fill="FFFFFF" w:val="clear"/>
            <w:tcMar>
              <w:bottom w:w="0" w:type="dxa"/>
            </w:tcMar>
            <w:vAlign w:val="center"/>
          </w:tcPr>
          <w:p>
            <w:pPr>
              <w:pStyle w:val="TableContents"/>
              <w:bidi w:val="0"/>
              <w:spacing w:before="0" w:after="283"/>
              <w:jc w:val="right"/>
              <w:rPr/>
            </w:pPr>
            <w:r>
              <w:rPr/>
              <w:t>70,435</w:t>
            </w:r>
          </w:p>
        </w:tc>
        <w:tc>
          <w:tcPr>
            <w:tcW w:w="75"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1102" w:name="xdx_8AA_z6bBrvOr0iwd"/>
      <w:bookmarkEnd w:id="1102"/>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these assets were measured at the acquisition dates in conjunction with the Streamex Exchange acquisition.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1103" w:name="xdx_891_eus-gaap--FairValueAssetsMeasure"/>
      <w:bookmarkEnd w:id="1103"/>
      <w:r>
        <w:rPr>
          <w:rFonts w:ascii="Times New Roman;Times;Serif" w:hAnsi="Times New Roman;Times;Serif"/>
          <w:b w:val="false"/>
          <w:i w:val="false"/>
          <w:caps w:val="false"/>
          <w:smallCaps w:val="false"/>
          <w:sz w:val="20"/>
        </w:rPr>
        <w:t>The significant unobservable inputs used in our level 3 fair value measurements during the nine months ended September 30, 2025 are as follows: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bookmarkStart w:id="1104" w:name="xdx_8B1_zwx6gVmucv67"/>
      <w:bookmarkEnd w:id="1104"/>
      <w:r>
        <w:rPr>
          <w:rFonts w:ascii="Times New Roman;Times;Serif" w:hAnsi="Times New Roman;Times;Serif"/>
          <w:b w:val="false"/>
          <w:i w:val="false"/>
          <w:caps w:val="false"/>
          <w:smallCaps w:val="false"/>
          <w:sz w:val="20"/>
        </w:rPr>
        <w:t>SUMMARY OF UNOBSERVABLE INPUTS</w:t>
      </w:r>
    </w:p>
    <w:tbl>
      <w:tblPr>
        <w:tblW w:w="10205" w:type="dxa"/>
        <w:jc w:val="left"/>
        <w:tblInd w:w="0" w:type="dxa"/>
        <w:tblLayout w:type="fixed"/>
        <w:tblCellMar>
          <w:top w:w="0" w:type="dxa"/>
          <w:left w:w="0" w:type="dxa"/>
          <w:bottom w:w="28" w:type="dxa"/>
          <w:right w:w="0" w:type="dxa"/>
        </w:tblCellMar>
      </w:tblPr>
      <w:tblGrid>
        <w:gridCol w:w="1888"/>
        <w:gridCol w:w="60"/>
        <w:gridCol w:w="2873"/>
        <w:gridCol w:w="60"/>
        <w:gridCol w:w="2720"/>
        <w:gridCol w:w="60"/>
        <w:gridCol w:w="60"/>
        <w:gridCol w:w="2282"/>
        <w:gridCol w:w="202"/>
      </w:tblGrid>
      <w:tr>
        <w:trPr/>
        <w:tc>
          <w:tcPr>
            <w:tcW w:w="1888"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Areas</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873"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Valuation Techniques</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72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Unobservable Inputs</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342"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Range </w:t>
              <w:br/>
              <w:t>(Weighted Average)</w:t>
            </w:r>
          </w:p>
        </w:tc>
        <w:tc>
          <w:tcPr>
            <w:tcW w:w="202"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1888"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Trade name</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873"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Relief-from-Royalty Method</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72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Royality Rate</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282"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bookmarkStart w:id="1105" w:name="xdx_90C_eus-gaap--InvestmentCompanyInves"/>
            <w:bookmarkEnd w:id="1105"/>
            <w:r>
              <w:rPr>
                <w:rFonts w:ascii="Times New Roman;Times;Serif" w:hAnsi="Times New Roman;Times;Serif"/>
                <w:b w:val="false"/>
                <w:i w:val="false"/>
                <w:caps w:val="false"/>
                <w:smallCaps w:val="false"/>
                <w:sz w:val="20"/>
              </w:rPr>
              <w:t>1</w:t>
            </w:r>
          </w:p>
        </w:tc>
        <w:tc>
          <w:tcPr>
            <w:tcW w:w="202"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1888"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873"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72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 Growth Rate</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282"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bookmarkStart w:id="1106" w:name="xdx_90D_ecustom--RevenueGrowthRateDescri"/>
            <w:bookmarkEnd w:id="1106"/>
            <w:r>
              <w:rPr>
                <w:rFonts w:ascii="Times New Roman;Times;Serif" w:hAnsi="Times New Roman;Times;Serif"/>
                <w:b w:val="false"/>
                <w:i w:val="false"/>
                <w:caps w:val="false"/>
                <w:smallCaps w:val="false"/>
                <w:sz w:val="20"/>
              </w:rPr>
              <w:t>53% average through FY2030, 3% thereafter</w:t>
            </w:r>
          </w:p>
        </w:tc>
        <w:tc>
          <w:tcPr>
            <w:tcW w:w="202"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1888"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873" w:type="dxa"/>
            <w:tcBorders/>
            <w:shd w:fill="CCEE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72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Discount rate</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282"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bookmarkStart w:id="1107" w:name="xdx_903_eus-gaap--InvestmentCompanyInves"/>
            <w:bookmarkEnd w:id="1107"/>
            <w:r>
              <w:rPr>
                <w:rFonts w:ascii="Times New Roman;Times;Serif" w:hAnsi="Times New Roman;Times;Serif"/>
                <w:b w:val="false"/>
                <w:i w:val="false"/>
                <w:caps w:val="false"/>
                <w:smallCaps w:val="false"/>
                <w:sz w:val="20"/>
              </w:rPr>
              <w:t>40</w:t>
            </w:r>
          </w:p>
        </w:tc>
        <w:tc>
          <w:tcPr>
            <w:tcW w:w="202"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1888"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873" w:type="dxa"/>
            <w:tcBorders/>
            <w:shd w:fill="CCEE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72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Income tax rate</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282"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bookmarkStart w:id="1108" w:name="xdx_906_eus-gaap--InvestmentCompanyInves"/>
            <w:bookmarkEnd w:id="1108"/>
            <w:r>
              <w:rPr>
                <w:rFonts w:ascii="Times New Roman;Times;Serif" w:hAnsi="Times New Roman;Times;Serif"/>
                <w:b w:val="false"/>
                <w:i w:val="false"/>
                <w:caps w:val="false"/>
                <w:smallCaps w:val="false"/>
                <w:sz w:val="20"/>
              </w:rPr>
              <w:t>26</w:t>
            </w:r>
          </w:p>
        </w:tc>
        <w:tc>
          <w:tcPr>
            <w:tcW w:w="202"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1888"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873" w:type="dxa"/>
            <w:tcBorders/>
            <w:shd w:fill="CCEE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72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Tax amortization period</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282"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bookmarkStart w:id="1109" w:name="xdx_909_eus-gaap--RegulatoryLiabilityAmo"/>
            <w:bookmarkEnd w:id="1109"/>
            <w:r>
              <w:rPr>
                <w:rFonts w:ascii="Times New Roman;Times;Serif" w:hAnsi="Times New Roman;Times;Serif"/>
                <w:b w:val="false"/>
                <w:i w:val="false"/>
                <w:caps w:val="false"/>
                <w:smallCaps w:val="false"/>
                <w:sz w:val="20"/>
              </w:rPr>
              <w:t>20 yrs</w:t>
            </w:r>
          </w:p>
        </w:tc>
        <w:tc>
          <w:tcPr>
            <w:tcW w:w="202"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1888"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Developed technology</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873"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Multi-Period Excess Earnings Method (MPEEM)</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72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Royalty rate</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282"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bookmarkStart w:id="1110" w:name="xdx_902_eus-gaap--InvestmentCompanyInves"/>
            <w:bookmarkEnd w:id="1110"/>
            <w:r>
              <w:rPr>
                <w:rFonts w:ascii="Times New Roman;Times;Serif" w:hAnsi="Times New Roman;Times;Serif"/>
                <w:b w:val="false"/>
                <w:i w:val="false"/>
                <w:caps w:val="false"/>
                <w:smallCaps w:val="false"/>
                <w:sz w:val="20"/>
              </w:rPr>
              <w:t>1</w:t>
            </w:r>
          </w:p>
        </w:tc>
        <w:tc>
          <w:tcPr>
            <w:tcW w:w="202"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1888"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873"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72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 Growth Rates</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282"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bookmarkStart w:id="1111" w:name="xdx_90F_ecustom--RevenueGrowthRateDescri"/>
            <w:bookmarkEnd w:id="1111"/>
            <w:r>
              <w:rPr>
                <w:rFonts w:ascii="Times New Roman;Times;Serif" w:hAnsi="Times New Roman;Times;Serif"/>
                <w:b w:val="false"/>
                <w:i w:val="false"/>
                <w:caps w:val="false"/>
                <w:smallCaps w:val="false"/>
                <w:sz w:val="20"/>
              </w:rPr>
              <w:t>53% average through FY2030, 3% thereafter</w:t>
            </w:r>
          </w:p>
        </w:tc>
        <w:tc>
          <w:tcPr>
            <w:tcW w:w="202"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1888"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873"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72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Expense Growth Rates</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282"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bookmarkStart w:id="1112" w:name="xdx_90A_eus-gaap--InvestmentCompanyInves"/>
            <w:bookmarkEnd w:id="1112"/>
            <w:r>
              <w:rPr>
                <w:rFonts w:ascii="Times New Roman;Times;Serif" w:hAnsi="Times New Roman;Times;Serif"/>
                <w:b w:val="false"/>
                <w:i w:val="false"/>
                <w:caps w:val="false"/>
                <w:smallCaps w:val="false"/>
                <w:sz w:val="20"/>
              </w:rPr>
              <w:t xml:space="preserve">16% - </w:t>
            </w:r>
            <w:bookmarkStart w:id="1113" w:name="xdx_901_eus-gaap--InvestmentCompanyInves"/>
            <w:bookmarkEnd w:id="1113"/>
            <w:r>
              <w:rPr>
                <w:rFonts w:ascii="Times New Roman;Times;Serif" w:hAnsi="Times New Roman;Times;Serif"/>
                <w:b w:val="false"/>
                <w:i w:val="false"/>
                <w:caps w:val="false"/>
                <w:smallCaps w:val="false"/>
                <w:sz w:val="20"/>
              </w:rPr>
              <w:t>26</w:t>
            </w:r>
          </w:p>
        </w:tc>
        <w:tc>
          <w:tcPr>
            <w:tcW w:w="202"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1888"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873"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72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Contributory Assets’ Charge</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282"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bookmarkStart w:id="1114" w:name="xdx_900_eus-gaap--InvestmentCompanyInves"/>
            <w:bookmarkEnd w:id="1114"/>
            <w:r>
              <w:rPr>
                <w:rFonts w:ascii="Times New Roman;Times;Serif" w:hAnsi="Times New Roman;Times;Serif"/>
                <w:b w:val="false"/>
                <w:i w:val="false"/>
                <w:caps w:val="false"/>
                <w:smallCaps w:val="false"/>
                <w:sz w:val="20"/>
              </w:rPr>
              <w:t xml:space="preserve">17.1% - </w:t>
            </w:r>
            <w:bookmarkStart w:id="1115" w:name="xdx_90A_eus-gaap--InvestmentCompanyInves"/>
            <w:bookmarkEnd w:id="1115"/>
            <w:r>
              <w:rPr>
                <w:rFonts w:ascii="Times New Roman;Times;Serif" w:hAnsi="Times New Roman;Times;Serif"/>
                <w:b w:val="false"/>
                <w:i w:val="false"/>
                <w:caps w:val="false"/>
                <w:smallCaps w:val="false"/>
                <w:sz w:val="20"/>
              </w:rPr>
              <w:t>193.6</w:t>
            </w:r>
          </w:p>
        </w:tc>
        <w:tc>
          <w:tcPr>
            <w:tcW w:w="202"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1888"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873"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72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Obsolesce</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282"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Sigmoid curve over </w:t>
            </w:r>
            <w:bookmarkStart w:id="1116" w:name="xdx_909_eus-gaap--RegulatoryLiabilityAmo"/>
            <w:bookmarkEnd w:id="1116"/>
            <w:r>
              <w:rPr>
                <w:rFonts w:ascii="Times New Roman;Times;Serif" w:hAnsi="Times New Roman;Times;Serif"/>
                <w:b w:val="false"/>
                <w:i w:val="false"/>
                <w:caps w:val="false"/>
                <w:smallCaps w:val="false"/>
                <w:sz w:val="20"/>
              </w:rPr>
              <w:t>8-year life</w:t>
            </w:r>
          </w:p>
        </w:tc>
        <w:tc>
          <w:tcPr>
            <w:tcW w:w="202"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1888"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873"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72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Distributor EBIT margin for customer relationships</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282"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bookmarkStart w:id="1117" w:name="xdx_90A_eus-gaap--InvestmentCompanyInves"/>
            <w:bookmarkEnd w:id="1117"/>
            <w:r>
              <w:rPr>
                <w:rFonts w:ascii="Times New Roman;Times;Serif" w:hAnsi="Times New Roman;Times;Serif"/>
                <w:b w:val="false"/>
                <w:i w:val="false"/>
                <w:caps w:val="false"/>
                <w:smallCaps w:val="false"/>
                <w:sz w:val="20"/>
              </w:rPr>
              <w:t>9</w:t>
            </w:r>
          </w:p>
        </w:tc>
        <w:tc>
          <w:tcPr>
            <w:tcW w:w="202"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1888"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873"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72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Discount rate</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282"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bookmarkStart w:id="1118" w:name="xdx_90A_eus-gaap--InvestmentCompanyInves"/>
            <w:bookmarkEnd w:id="1118"/>
            <w:r>
              <w:rPr>
                <w:rFonts w:ascii="Times New Roman;Times;Serif" w:hAnsi="Times New Roman;Times;Serif"/>
                <w:b w:val="false"/>
                <w:i w:val="false"/>
                <w:caps w:val="false"/>
                <w:smallCaps w:val="false"/>
                <w:sz w:val="20"/>
              </w:rPr>
              <w:t>40</w:t>
            </w:r>
          </w:p>
        </w:tc>
        <w:tc>
          <w:tcPr>
            <w:tcW w:w="202"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1888"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873"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72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Income tax rate</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282"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bookmarkStart w:id="1119" w:name="xdx_900_eus-gaap--InvestmentCompanyInves"/>
            <w:bookmarkEnd w:id="1119"/>
            <w:r>
              <w:rPr>
                <w:rFonts w:ascii="Times New Roman;Times;Serif" w:hAnsi="Times New Roman;Times;Serif"/>
                <w:b w:val="false"/>
                <w:i w:val="false"/>
                <w:caps w:val="false"/>
                <w:smallCaps w:val="false"/>
                <w:sz w:val="20"/>
              </w:rPr>
              <w:t>26</w:t>
            </w:r>
          </w:p>
        </w:tc>
        <w:tc>
          <w:tcPr>
            <w:tcW w:w="202"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1888"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873"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72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Tax amortization period</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282"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bookmarkStart w:id="1120" w:name="xdx_906_eus-gaap--RegulatoryLiabilityAmo"/>
            <w:bookmarkEnd w:id="1120"/>
            <w:r>
              <w:rPr>
                <w:rFonts w:ascii="Times New Roman;Times;Serif" w:hAnsi="Times New Roman;Times;Serif"/>
                <w:b w:val="false"/>
                <w:i w:val="false"/>
                <w:caps w:val="false"/>
                <w:smallCaps w:val="false"/>
                <w:sz w:val="20"/>
              </w:rPr>
              <w:t>20 yrs</w:t>
            </w:r>
          </w:p>
        </w:tc>
        <w:tc>
          <w:tcPr>
            <w:tcW w:w="202"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1888"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Legal and compliance framework</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873"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Approach</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72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Replacement cost growth rate</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282"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bookmarkStart w:id="1121" w:name="xdx_904_eus-gaap--InvestmentCompanyInves"/>
            <w:bookmarkEnd w:id="1121"/>
            <w:r>
              <w:rPr>
                <w:rFonts w:ascii="Times New Roman;Times;Serif" w:hAnsi="Times New Roman;Times;Serif"/>
                <w:b w:val="false"/>
                <w:i w:val="false"/>
                <w:caps w:val="false"/>
                <w:smallCaps w:val="false"/>
                <w:sz w:val="20"/>
              </w:rPr>
              <w:t>3</w:t>
            </w:r>
          </w:p>
        </w:tc>
        <w:tc>
          <w:tcPr>
            <w:tcW w:w="202"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1888"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873"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72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Cap Ex Rates</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282"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bookmarkStart w:id="1122" w:name="xdx_901_eus-gaap--InvestmentCompanyInves"/>
            <w:bookmarkEnd w:id="1122"/>
            <w:r>
              <w:rPr>
                <w:rFonts w:ascii="Times New Roman;Times;Serif" w:hAnsi="Times New Roman;Times;Serif"/>
                <w:b w:val="false"/>
                <w:i w:val="false"/>
                <w:caps w:val="false"/>
                <w:smallCaps w:val="false"/>
                <w:sz w:val="20"/>
              </w:rPr>
              <w:t>1</w:t>
            </w:r>
          </w:p>
        </w:tc>
        <w:tc>
          <w:tcPr>
            <w:tcW w:w="202"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1888"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873"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72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Contributory Assets Rates</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282"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bookmarkStart w:id="1123" w:name="xdx_902_eus-gaap--InvestmentCompanyInves"/>
            <w:bookmarkEnd w:id="1123"/>
            <w:r>
              <w:rPr>
                <w:rFonts w:ascii="Times New Roman;Times;Serif" w:hAnsi="Times New Roman;Times;Serif"/>
                <w:b w:val="false"/>
                <w:i w:val="false"/>
                <w:caps w:val="false"/>
                <w:smallCaps w:val="false"/>
                <w:sz w:val="20"/>
              </w:rPr>
              <w:t>40</w:t>
            </w:r>
          </w:p>
        </w:tc>
        <w:tc>
          <w:tcPr>
            <w:tcW w:w="202"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1888"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873" w:type="dxa"/>
            <w:tcBorders/>
            <w:shd w:fill="CCEE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72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After tax rate of return</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282"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bookmarkStart w:id="1124" w:name="xdx_908_eus-gaap--InvestmentCompanyInves"/>
            <w:bookmarkEnd w:id="1124"/>
            <w:r>
              <w:rPr>
                <w:rFonts w:ascii="Times New Roman;Times;Serif" w:hAnsi="Times New Roman;Times;Serif"/>
                <w:b w:val="false"/>
                <w:i w:val="false"/>
                <w:caps w:val="false"/>
                <w:smallCaps w:val="false"/>
                <w:sz w:val="20"/>
              </w:rPr>
              <w:t>40</w:t>
            </w:r>
          </w:p>
        </w:tc>
        <w:tc>
          <w:tcPr>
            <w:tcW w:w="202"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1888"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873" w:type="dxa"/>
            <w:tcBorders/>
            <w:shd w:fill="CCEE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72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Useful life</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282"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bookmarkStart w:id="1125" w:name="xdx_90F_eus-gaap--RegulatoryLiabilityAmo"/>
            <w:bookmarkEnd w:id="1125"/>
            <w:r>
              <w:rPr>
                <w:rFonts w:ascii="Times New Roman;Times;Serif" w:hAnsi="Times New Roman;Times;Serif"/>
                <w:b w:val="false"/>
                <w:i w:val="false"/>
                <w:caps w:val="false"/>
                <w:smallCaps w:val="false"/>
                <w:sz w:val="20"/>
              </w:rPr>
              <w:t>7 yrs</w:t>
            </w:r>
          </w:p>
        </w:tc>
        <w:tc>
          <w:tcPr>
            <w:tcW w:w="202"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both"/>
        <w:rPr>
          <w:caps w:val="false"/>
          <w:smallCaps w:val="false"/>
        </w:rPr>
      </w:pPr>
      <w:bookmarkStart w:id="1126" w:name="xdx_8AB_zPpRLShbZAUk"/>
      <w:bookmarkEnd w:id="1126"/>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connection with the acquisition of Streamex Exchange Corporation on May 28, 2025, Streamex Corp. issued </w:t>
      </w:r>
      <w:bookmarkStart w:id="1127" w:name="xdx_90B_eus-gaap--SaleOfStockNumberOfSha"/>
      <w:bookmarkEnd w:id="1127"/>
      <w:r>
        <w:rPr>
          <w:rFonts w:ascii="Times New Roman;Times;Serif" w:hAnsi="Times New Roman;Times;Serif"/>
          <w:b w:val="false"/>
          <w:i w:val="false"/>
          <w:caps w:val="false"/>
          <w:smallCaps w:val="false"/>
          <w:sz w:val="20"/>
        </w:rPr>
        <w:t xml:space="preserve">109,070,079 Exchangeable Shares through its wholly-owned subsidiary, ExchangeCo, as purchase consideration. </w:t>
      </w:r>
      <w:bookmarkStart w:id="1128" w:name="xdx_908_eus-gaap--ConversionOfStockDescr"/>
      <w:bookmarkEnd w:id="1128"/>
      <w:r>
        <w:rPr>
          <w:rFonts w:ascii="Times New Roman;Times;Serif" w:hAnsi="Times New Roman;Times;Serif"/>
          <w:b w:val="false"/>
          <w:i w:val="false"/>
          <w:caps w:val="false"/>
          <w:smallCaps w:val="false"/>
          <w:sz w:val="20"/>
        </w:rPr>
        <w:t>The Exchangeable Shares are convertible into the Company’s common stock on a 1:1 basis, subject to a 1.25:1 adjustment if shareholder approval is not obtained within six months. As of the acquisition date, the Exchangeable Shares were not exchangeable into more than 19.9% of the Company’s outstanding common stock, pending shareholder approval.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Due to the lack of an active market and the contingent nature of conversion, the Exchangeable Shares were classified as a Level 3 instrument under ASC 820.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fair value of the derivative liability was estimated using a discounted cash flow method and a market capitalization reconciliation. The following table summarizes the significant unobservable inputs used in the valuation:</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Initial Recognition – May 28,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valuation incorporated:</w:t>
      </w:r>
    </w:p>
    <w:p>
      <w:pPr>
        <w:pStyle w:val="TextBody"/>
        <w:bidi w:val="0"/>
        <w:spacing w:before="0" w:after="0"/>
        <w:ind w:left="0" w:right="0" w:hanging="0"/>
        <w:jc w:val="both"/>
        <w:rPr>
          <w:caps w:val="false"/>
          <w:smallCaps w:val="false"/>
        </w:rPr>
      </w:pPr>
      <w:r>
        <w:rPr>
          <w:caps w:val="false"/>
          <w:smallCaps w:val="false"/>
        </w:rPr>
        <w:t> </w:t>
      </w:r>
    </w:p>
    <w:tbl>
      <w:tblPr>
        <w:tblW w:w="8575" w:type="dxa"/>
        <w:jc w:val="left"/>
        <w:tblInd w:w="0" w:type="dxa"/>
        <w:tblLayout w:type="fixed"/>
        <w:tblCellMar>
          <w:top w:w="0" w:type="dxa"/>
          <w:left w:w="0" w:type="dxa"/>
          <w:bottom w:w="0" w:type="dxa"/>
          <w:right w:w="0" w:type="dxa"/>
        </w:tblCellMar>
      </w:tblPr>
      <w:tblGrid>
        <w:gridCol w:w="75"/>
        <w:gridCol w:w="230"/>
        <w:gridCol w:w="827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0" w:type="dxa"/>
            <w:tcBorders/>
            <w:vAlign w:val="center"/>
          </w:tcPr>
          <w:p>
            <w:pPr>
              <w:pStyle w:val="TableContents"/>
              <w:bidi w:val="0"/>
              <w:spacing w:before="0" w:after="283"/>
              <w:jc w:val="both"/>
              <w:rPr>
                <w:caps w:val="false"/>
                <w:smallCaps w:val="false"/>
              </w:rPr>
            </w:pPr>
            <w:r>
              <w:rPr>
                <w:caps w:val="false"/>
                <w:smallCaps w:val="false"/>
              </w:rPr>
              <w:t xml:space="preserve">● </w:t>
            </w:r>
          </w:p>
        </w:tc>
        <w:tc>
          <w:tcPr>
            <w:tcW w:w="82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Valuation technique: Discounted Cash Flow (DCF) method and a market capitalization reconciliation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0" w:type="dxa"/>
            <w:tcBorders/>
            <w:vAlign w:val="center"/>
          </w:tcPr>
          <w:p>
            <w:pPr>
              <w:pStyle w:val="TableContents"/>
              <w:bidi w:val="0"/>
              <w:spacing w:before="0" w:after="283"/>
              <w:jc w:val="both"/>
              <w:rPr>
                <w:caps w:val="false"/>
                <w:smallCaps w:val="false"/>
              </w:rPr>
            </w:pPr>
            <w:r>
              <w:rPr>
                <w:caps w:val="false"/>
                <w:smallCaps w:val="false"/>
              </w:rPr>
              <w:t xml:space="preserve">● </w:t>
            </w:r>
          </w:p>
        </w:tc>
        <w:tc>
          <w:tcPr>
            <w:tcW w:w="82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Key unobservable inputs:</w:t>
            </w:r>
          </w:p>
        </w:tc>
      </w:tr>
    </w:tbl>
    <w:p>
      <w:pPr>
        <w:pStyle w:val="TextBody"/>
        <w:bidi w:val="0"/>
        <w:spacing w:before="0" w:after="0"/>
        <w:ind w:left="720" w:right="0" w:hanging="360"/>
        <w:jc w:val="both"/>
        <w:rPr>
          <w:caps w:val="false"/>
          <w:smallCaps w:val="false"/>
        </w:rPr>
      </w:pPr>
      <w:r>
        <w:rPr>
          <w:caps w:val="false"/>
          <w:smallCaps w:val="false"/>
        </w:rPr>
        <w:t> </w:t>
      </w:r>
    </w:p>
    <w:tbl>
      <w:tblPr>
        <w:tblW w:w="6955" w:type="dxa"/>
        <w:jc w:val="left"/>
        <w:tblInd w:w="0" w:type="dxa"/>
        <w:tblLayout w:type="fixed"/>
        <w:tblCellMar>
          <w:top w:w="0" w:type="dxa"/>
          <w:left w:w="0" w:type="dxa"/>
          <w:bottom w:w="0" w:type="dxa"/>
          <w:right w:w="0" w:type="dxa"/>
        </w:tblCellMar>
      </w:tblPr>
      <w:tblGrid>
        <w:gridCol w:w="75"/>
        <w:gridCol w:w="230"/>
        <w:gridCol w:w="665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30" w:type="dxa"/>
            <w:tcBorders/>
            <w:vAlign w:val="center"/>
          </w:tcPr>
          <w:p>
            <w:pPr>
              <w:pStyle w:val="TableContents"/>
              <w:bidi w:val="0"/>
              <w:spacing w:before="0" w:after="283"/>
              <w:jc w:val="both"/>
              <w:rPr>
                <w:caps w:val="false"/>
                <w:smallCaps w:val="false"/>
              </w:rPr>
            </w:pPr>
            <w:r>
              <w:rPr>
                <w:caps w:val="false"/>
                <w:smallCaps w:val="false"/>
              </w:rPr>
              <w:t xml:space="preserve">○ </w:t>
            </w:r>
          </w:p>
        </w:tc>
        <w:tc>
          <w:tcPr>
            <w:tcW w:w="66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Discount rate: </w:t>
            </w:r>
            <w:bookmarkStart w:id="1129" w:name="xdx_906_eus-gaap--InvestmentCompanyInves"/>
            <w:bookmarkEnd w:id="1129"/>
            <w:r>
              <w:rPr>
                <w:rFonts w:ascii="Times New Roman;Times;Serif" w:hAnsi="Times New Roman;Times;Serif"/>
                <w:b w:val="false"/>
                <w:i w:val="false"/>
                <w:caps w:val="false"/>
                <w:smallCaps w:val="false"/>
                <w:sz w:val="20"/>
              </w:rPr>
              <w:t>40.0%</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30" w:type="dxa"/>
            <w:tcBorders/>
            <w:vAlign w:val="center"/>
          </w:tcPr>
          <w:p>
            <w:pPr>
              <w:pStyle w:val="TableContents"/>
              <w:bidi w:val="0"/>
              <w:spacing w:before="0" w:after="283"/>
              <w:jc w:val="both"/>
              <w:rPr>
                <w:caps w:val="false"/>
                <w:smallCaps w:val="false"/>
              </w:rPr>
            </w:pPr>
            <w:r>
              <w:rPr>
                <w:caps w:val="false"/>
                <w:smallCaps w:val="false"/>
              </w:rPr>
              <w:t xml:space="preserve">○ </w:t>
            </w:r>
          </w:p>
        </w:tc>
        <w:tc>
          <w:tcPr>
            <w:tcW w:w="66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Terminal growth rate: </w:t>
            </w:r>
            <w:bookmarkStart w:id="1130" w:name="xdx_900_eus-gaap--InvestmentCompanyInves"/>
            <w:bookmarkEnd w:id="1130"/>
            <w:r>
              <w:rPr>
                <w:rFonts w:ascii="Times New Roman;Times;Serif" w:hAnsi="Times New Roman;Times;Serif"/>
                <w:b w:val="false"/>
                <w:i w:val="false"/>
                <w:caps w:val="false"/>
                <w:smallCaps w:val="false"/>
                <w:sz w:val="20"/>
              </w:rPr>
              <w:t>3.0%</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30" w:type="dxa"/>
            <w:tcBorders/>
            <w:vAlign w:val="center"/>
          </w:tcPr>
          <w:p>
            <w:pPr>
              <w:pStyle w:val="TableContents"/>
              <w:bidi w:val="0"/>
              <w:spacing w:before="0" w:after="283"/>
              <w:jc w:val="both"/>
              <w:rPr>
                <w:caps w:val="false"/>
                <w:smallCaps w:val="false"/>
              </w:rPr>
            </w:pPr>
            <w:r>
              <w:rPr>
                <w:caps w:val="false"/>
                <w:smallCaps w:val="false"/>
              </w:rPr>
              <w:t xml:space="preserve">○ </w:t>
            </w:r>
          </w:p>
        </w:tc>
        <w:tc>
          <w:tcPr>
            <w:tcW w:w="66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Capitalization rate: </w:t>
            </w:r>
            <w:bookmarkStart w:id="1131" w:name="xdx_903_eus-gaap--InvestmentCompanyInves"/>
            <w:bookmarkEnd w:id="1131"/>
            <w:r>
              <w:rPr>
                <w:rFonts w:ascii="Times New Roman;Times;Serif" w:hAnsi="Times New Roman;Times;Serif"/>
                <w:b w:val="false"/>
                <w:i w:val="false"/>
                <w:caps w:val="false"/>
                <w:smallCaps w:val="false"/>
                <w:sz w:val="20"/>
              </w:rPr>
              <w:t>37.0%</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30" w:type="dxa"/>
            <w:tcBorders/>
            <w:vAlign w:val="center"/>
          </w:tcPr>
          <w:p>
            <w:pPr>
              <w:pStyle w:val="TableContents"/>
              <w:bidi w:val="0"/>
              <w:spacing w:before="0" w:after="283"/>
              <w:jc w:val="both"/>
              <w:rPr>
                <w:caps w:val="false"/>
                <w:smallCaps w:val="false"/>
              </w:rPr>
            </w:pPr>
            <w:r>
              <w:rPr>
                <w:caps w:val="false"/>
                <w:smallCaps w:val="false"/>
              </w:rPr>
              <w:t>○</w:t>
            </w:r>
          </w:p>
        </w:tc>
        <w:tc>
          <w:tcPr>
            <w:tcW w:w="66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Revenue growth rate: </w:t>
            </w:r>
            <w:bookmarkStart w:id="1132" w:name="xdx_90A_ecustom--RevenueGrowthRateDescri"/>
            <w:bookmarkEnd w:id="1132"/>
            <w:r>
              <w:rPr>
                <w:rFonts w:ascii="Times New Roman;Times;Serif" w:hAnsi="Times New Roman;Times;Serif"/>
                <w:b w:val="false"/>
                <w:i w:val="false"/>
                <w:caps w:val="false"/>
                <w:smallCaps w:val="false"/>
                <w:sz w:val="20"/>
              </w:rPr>
              <w:t>53% average annual growth through FY2030, 3% thereafter</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30" w:type="dxa"/>
            <w:tcBorders/>
            <w:vAlign w:val="center"/>
          </w:tcPr>
          <w:p>
            <w:pPr>
              <w:pStyle w:val="TableContents"/>
              <w:bidi w:val="0"/>
              <w:spacing w:before="0" w:after="283"/>
              <w:jc w:val="both"/>
              <w:rPr>
                <w:caps w:val="false"/>
                <w:smallCaps w:val="false"/>
              </w:rPr>
            </w:pPr>
            <w:r>
              <w:rPr>
                <w:caps w:val="false"/>
                <w:smallCaps w:val="false"/>
              </w:rPr>
              <w:t>○</w:t>
            </w:r>
          </w:p>
        </w:tc>
        <w:tc>
          <w:tcPr>
            <w:tcW w:w="66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Expense rate: ~</w:t>
            </w:r>
            <w:bookmarkStart w:id="1133" w:name="xdx_90E_eus-gaap--InvestmentCompanyInves"/>
            <w:bookmarkEnd w:id="1133"/>
            <w:r>
              <w:rPr>
                <w:rFonts w:ascii="Times New Roman;Times;Serif" w:hAnsi="Times New Roman;Times;Serif"/>
                <w:b w:val="false"/>
                <w:i w:val="false"/>
                <w:caps w:val="false"/>
                <w:smallCaps w:val="false"/>
                <w:sz w:val="20"/>
              </w:rPr>
              <w:t>16% to ~</w:t>
            </w:r>
            <w:bookmarkStart w:id="1134" w:name="xdx_906_eus-gaap--InvestmentCompanyInves"/>
            <w:bookmarkEnd w:id="1134"/>
            <w:r>
              <w:rPr>
                <w:rFonts w:ascii="Times New Roman;Times;Serif" w:hAnsi="Times New Roman;Times;Serif"/>
                <w:b w:val="false"/>
                <w:i w:val="false"/>
                <w:caps w:val="false"/>
                <w:smallCaps w:val="false"/>
                <w:sz w:val="20"/>
              </w:rPr>
              <w:t>26% of tokenization revenue over the forecast period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30" w:type="dxa"/>
            <w:tcBorders/>
            <w:vAlign w:val="center"/>
          </w:tcPr>
          <w:p>
            <w:pPr>
              <w:pStyle w:val="TableContents"/>
              <w:bidi w:val="0"/>
              <w:spacing w:before="0" w:after="283"/>
              <w:jc w:val="both"/>
              <w:rPr>
                <w:caps w:val="false"/>
                <w:smallCaps w:val="false"/>
              </w:rPr>
            </w:pPr>
            <w:r>
              <w:rPr>
                <w:caps w:val="false"/>
                <w:smallCaps w:val="false"/>
              </w:rPr>
              <w:t>○</w:t>
            </w:r>
          </w:p>
        </w:tc>
        <w:tc>
          <w:tcPr>
            <w:tcW w:w="66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Capital expenditure rate: </w:t>
            </w:r>
            <w:bookmarkStart w:id="1135" w:name="xdx_902_eus-gaap--InvestmentCompanyInves"/>
            <w:bookmarkEnd w:id="1135"/>
            <w:r>
              <w:rPr>
                <w:rFonts w:ascii="Times New Roman;Times;Serif" w:hAnsi="Times New Roman;Times;Serif"/>
                <w:b w:val="false"/>
                <w:i w:val="false"/>
                <w:caps w:val="false"/>
                <w:smallCaps w:val="false"/>
                <w:sz w:val="20"/>
              </w:rPr>
              <w:t>1% of revenue annually</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30" w:type="dxa"/>
            <w:tcBorders/>
            <w:vAlign w:val="center"/>
          </w:tcPr>
          <w:p>
            <w:pPr>
              <w:pStyle w:val="TableContents"/>
              <w:bidi w:val="0"/>
              <w:spacing w:before="0" w:after="283"/>
              <w:jc w:val="both"/>
              <w:rPr>
                <w:caps w:val="false"/>
                <w:smallCaps w:val="false"/>
              </w:rPr>
            </w:pPr>
            <w:r>
              <w:rPr>
                <w:caps w:val="false"/>
                <w:smallCaps w:val="false"/>
              </w:rPr>
              <w:t xml:space="preserve">○ </w:t>
            </w:r>
          </w:p>
        </w:tc>
        <w:tc>
          <w:tcPr>
            <w:tcW w:w="66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Income tax rate: </w:t>
            </w:r>
            <w:bookmarkStart w:id="1136" w:name="xdx_905_eus-gaap--InvestmentCompanyInves"/>
            <w:bookmarkEnd w:id="1136"/>
            <w:r>
              <w:rPr>
                <w:rFonts w:ascii="Times New Roman;Times;Serif" w:hAnsi="Times New Roman;Times;Serif"/>
                <w:b w:val="false"/>
                <w:i w:val="false"/>
                <w:caps w:val="false"/>
                <w:smallCaps w:val="false"/>
                <w:sz w:val="20"/>
              </w:rPr>
              <w:t>26%</w:t>
            </w:r>
          </w:p>
        </w:tc>
      </w:tr>
    </w:tbl>
    <w:p>
      <w:pPr>
        <w:pStyle w:val="TextBody"/>
        <w:bidi w:val="0"/>
        <w:spacing w:before="0" w:after="0"/>
        <w:ind w:left="720" w:right="0" w:hanging="360"/>
        <w:jc w:val="both"/>
        <w:rPr>
          <w:caps w:val="false"/>
          <w:smallCaps w:val="false"/>
        </w:rPr>
      </w:pPr>
      <w:r>
        <w:rPr>
          <w:caps w:val="false"/>
          <w:smallCaps w:val="false"/>
        </w:rPr>
        <w:t> </w:t>
      </w:r>
    </w:p>
    <w:tbl>
      <w:tblPr>
        <w:tblW w:w="4600" w:type="dxa"/>
        <w:jc w:val="left"/>
        <w:tblInd w:w="0" w:type="dxa"/>
        <w:tblLayout w:type="fixed"/>
        <w:tblCellMar>
          <w:top w:w="0" w:type="dxa"/>
          <w:left w:w="0" w:type="dxa"/>
          <w:bottom w:w="0" w:type="dxa"/>
          <w:right w:w="0" w:type="dxa"/>
        </w:tblCellMar>
      </w:tblPr>
      <w:tblGrid>
        <w:gridCol w:w="75"/>
        <w:gridCol w:w="230"/>
        <w:gridCol w:w="429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0" w:type="dxa"/>
            <w:tcBorders/>
            <w:vAlign w:val="center"/>
          </w:tcPr>
          <w:p>
            <w:pPr>
              <w:pStyle w:val="TableContents"/>
              <w:bidi w:val="0"/>
              <w:spacing w:before="0" w:after="283"/>
              <w:jc w:val="both"/>
              <w:rPr>
                <w:caps w:val="false"/>
                <w:smallCaps w:val="false"/>
              </w:rPr>
            </w:pPr>
            <w:r>
              <w:rPr>
                <w:caps w:val="false"/>
                <w:smallCaps w:val="false"/>
              </w:rPr>
              <w:t xml:space="preserve">● </w:t>
            </w:r>
          </w:p>
        </w:tc>
        <w:tc>
          <w:tcPr>
            <w:tcW w:w="42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Fair value conclusion: $</w:t>
            </w:r>
            <w:bookmarkStart w:id="1137" w:name="xdx_90F_ecustom--FairValueExchangeableSh"/>
            <w:bookmarkEnd w:id="1137"/>
            <w:r>
              <w:rPr>
                <w:rFonts w:ascii="Times New Roman;Times;Serif" w:hAnsi="Times New Roman;Times;Serif"/>
                <w:b w:val="false"/>
                <w:i w:val="false"/>
                <w:caps w:val="false"/>
                <w:smallCaps w:val="false"/>
                <w:sz w:val="20"/>
              </w:rPr>
              <w:t>105.5 million (USD in 000s)</w:t>
            </w:r>
          </w:p>
        </w:tc>
      </w:tr>
    </w:tbl>
    <w:p>
      <w:pPr>
        <w:pStyle w:val="TextBody"/>
        <w:bidi w:val="0"/>
        <w:spacing w:before="0" w:after="0"/>
        <w:ind w:left="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28</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STREAMEX CORP.</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THE CONDENSED CONSOLIDATED FINANCIAL STATEMENTS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SEPTEMBER 30, 2025 </w:t>
      </w:r>
      <w:r>
        <w:rPr>
          <w:rFonts w:ascii="Times New Roman;Times;Serif" w:hAnsi="Times New Roman;Times;Serif"/>
          <w:b/>
          <w:i/>
          <w:caps w:val="false"/>
          <w:smallCaps w:val="false"/>
          <w:sz w:val="20"/>
        </w:rPr>
        <w:t>(</w:t>
      </w:r>
      <w:r>
        <w:rPr>
          <w:rFonts w:ascii="Times New Roman;Times;Serif" w:hAnsi="Times New Roman;Times;Serif"/>
          <w:b/>
          <w:i w:val="false"/>
          <w:caps w:val="false"/>
          <w:smallCaps w:val="false"/>
          <w:sz w:val="20"/>
        </w:rPr>
        <w:t>Unaudited</w:t>
      </w:r>
      <w:r>
        <w:rPr>
          <w:rFonts w:ascii="Times New Roman;Times;Serif" w:hAnsi="Times New Roman;Times;Serif"/>
          <w:b/>
          <w:i/>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valuation was used to determine the total preliminary purchase consideration for the acquisition.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Remeasurement – September 30,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September 30, 2025, the Exchangeable Shares remained unlisted and subject to shareholder approval for full conversion. No observable market transactions occurred during the period. The Company reassessed the fair value using updated inputs, including:</w:t>
      </w:r>
    </w:p>
    <w:p>
      <w:pPr>
        <w:pStyle w:val="TextBody"/>
        <w:bidi w:val="0"/>
        <w:spacing w:before="0" w:after="0"/>
        <w:ind w:left="0" w:right="0" w:hanging="0"/>
        <w:jc w:val="both"/>
        <w:rPr>
          <w:caps w:val="false"/>
          <w:smallCaps w:val="false"/>
        </w:rPr>
      </w:pPr>
      <w:r>
        <w:rPr>
          <w:caps w:val="false"/>
          <w:smallCaps w:val="false"/>
        </w:rPr>
        <w:t> </w:t>
      </w:r>
    </w:p>
    <w:tbl>
      <w:tblPr>
        <w:tblW w:w="8575" w:type="dxa"/>
        <w:jc w:val="left"/>
        <w:tblInd w:w="0" w:type="dxa"/>
        <w:tblLayout w:type="fixed"/>
        <w:tblCellMar>
          <w:top w:w="0" w:type="dxa"/>
          <w:left w:w="0" w:type="dxa"/>
          <w:bottom w:w="0" w:type="dxa"/>
          <w:right w:w="0" w:type="dxa"/>
        </w:tblCellMar>
      </w:tblPr>
      <w:tblGrid>
        <w:gridCol w:w="75"/>
        <w:gridCol w:w="230"/>
        <w:gridCol w:w="827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0" w:type="dxa"/>
            <w:tcBorders/>
            <w:vAlign w:val="center"/>
          </w:tcPr>
          <w:p>
            <w:pPr>
              <w:pStyle w:val="TableContents"/>
              <w:bidi w:val="0"/>
              <w:spacing w:before="0" w:after="283"/>
              <w:jc w:val="both"/>
              <w:rPr>
                <w:caps w:val="false"/>
                <w:smallCaps w:val="false"/>
              </w:rPr>
            </w:pPr>
            <w:r>
              <w:rPr>
                <w:caps w:val="false"/>
                <w:smallCaps w:val="false"/>
              </w:rPr>
              <w:t xml:space="preserve">● </w:t>
            </w:r>
          </w:p>
        </w:tc>
        <w:tc>
          <w:tcPr>
            <w:tcW w:w="82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Valuation technique: Discounted Cash Flow (DCF) method and a market capitalization reconciliation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0" w:type="dxa"/>
            <w:tcBorders/>
            <w:vAlign w:val="center"/>
          </w:tcPr>
          <w:p>
            <w:pPr>
              <w:pStyle w:val="TableContents"/>
              <w:bidi w:val="0"/>
              <w:spacing w:before="0" w:after="283"/>
              <w:jc w:val="both"/>
              <w:rPr>
                <w:caps w:val="false"/>
                <w:smallCaps w:val="false"/>
              </w:rPr>
            </w:pPr>
            <w:r>
              <w:rPr>
                <w:caps w:val="false"/>
                <w:smallCaps w:val="false"/>
              </w:rPr>
              <w:t xml:space="preserve">● </w:t>
            </w:r>
          </w:p>
        </w:tc>
        <w:tc>
          <w:tcPr>
            <w:tcW w:w="82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Key unobservable inputs:</w:t>
            </w:r>
          </w:p>
        </w:tc>
      </w:tr>
    </w:tbl>
    <w:p>
      <w:pPr>
        <w:pStyle w:val="TextBody"/>
        <w:bidi w:val="0"/>
        <w:spacing w:before="0" w:after="0"/>
        <w:ind w:left="0" w:right="0" w:hanging="0"/>
        <w:jc w:val="both"/>
        <w:rPr>
          <w:caps w:val="false"/>
          <w:smallCaps w:val="false"/>
        </w:rPr>
      </w:pPr>
      <w:r>
        <w:rPr>
          <w:caps w:val="false"/>
          <w:smallCaps w:val="false"/>
        </w:rPr>
        <w:t> </w:t>
      </w:r>
    </w:p>
    <w:tbl>
      <w:tblPr>
        <w:tblW w:w="7165" w:type="dxa"/>
        <w:jc w:val="left"/>
        <w:tblInd w:w="0" w:type="dxa"/>
        <w:tblLayout w:type="fixed"/>
        <w:tblCellMar>
          <w:top w:w="0" w:type="dxa"/>
          <w:left w:w="0" w:type="dxa"/>
          <w:bottom w:w="0" w:type="dxa"/>
          <w:right w:w="0" w:type="dxa"/>
        </w:tblCellMar>
      </w:tblPr>
      <w:tblGrid>
        <w:gridCol w:w="75"/>
        <w:gridCol w:w="230"/>
        <w:gridCol w:w="68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30" w:type="dxa"/>
            <w:tcBorders/>
            <w:vAlign w:val="center"/>
          </w:tcPr>
          <w:p>
            <w:pPr>
              <w:pStyle w:val="TableContents"/>
              <w:bidi w:val="0"/>
              <w:spacing w:before="0" w:after="283"/>
              <w:jc w:val="both"/>
              <w:rPr>
                <w:caps w:val="false"/>
                <w:smallCaps w:val="false"/>
              </w:rPr>
            </w:pPr>
            <w:r>
              <w:rPr>
                <w:caps w:val="false"/>
                <w:smallCaps w:val="false"/>
              </w:rPr>
              <w:t xml:space="preserve">○ </w:t>
            </w:r>
          </w:p>
        </w:tc>
        <w:tc>
          <w:tcPr>
            <w:tcW w:w="68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Discount rate: </w:t>
            </w:r>
            <w:bookmarkStart w:id="1138" w:name="xdx_90A_eus-gaap--InvestmentCompanyInves"/>
            <w:bookmarkEnd w:id="1138"/>
            <w:r>
              <w:rPr>
                <w:rFonts w:ascii="Times New Roman;Times;Serif" w:hAnsi="Times New Roman;Times;Serif"/>
                <w:b w:val="false"/>
                <w:i w:val="false"/>
                <w:caps w:val="false"/>
                <w:smallCaps w:val="false"/>
                <w:sz w:val="20"/>
              </w:rPr>
              <w:t>40.0%</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30" w:type="dxa"/>
            <w:tcBorders/>
            <w:vAlign w:val="center"/>
          </w:tcPr>
          <w:p>
            <w:pPr>
              <w:pStyle w:val="TableContents"/>
              <w:bidi w:val="0"/>
              <w:spacing w:before="0" w:after="283"/>
              <w:jc w:val="both"/>
              <w:rPr>
                <w:caps w:val="false"/>
                <w:smallCaps w:val="false"/>
              </w:rPr>
            </w:pPr>
            <w:r>
              <w:rPr>
                <w:caps w:val="false"/>
                <w:smallCaps w:val="false"/>
              </w:rPr>
              <w:t xml:space="preserve">○ </w:t>
            </w:r>
          </w:p>
        </w:tc>
        <w:tc>
          <w:tcPr>
            <w:tcW w:w="68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Terminal growth rate: </w:t>
            </w:r>
            <w:bookmarkStart w:id="1139" w:name="xdx_900_eus-gaap--InvestmentCompanyInves"/>
            <w:bookmarkEnd w:id="1139"/>
            <w:r>
              <w:rPr>
                <w:rFonts w:ascii="Times New Roman;Times;Serif" w:hAnsi="Times New Roman;Times;Serif"/>
                <w:b w:val="false"/>
                <w:i w:val="false"/>
                <w:caps w:val="false"/>
                <w:smallCaps w:val="false"/>
                <w:sz w:val="20"/>
              </w:rPr>
              <w:t>3.0%</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30" w:type="dxa"/>
            <w:tcBorders/>
            <w:vAlign w:val="center"/>
          </w:tcPr>
          <w:p>
            <w:pPr>
              <w:pStyle w:val="TableContents"/>
              <w:bidi w:val="0"/>
              <w:spacing w:before="0" w:after="283"/>
              <w:jc w:val="both"/>
              <w:rPr>
                <w:caps w:val="false"/>
                <w:smallCaps w:val="false"/>
              </w:rPr>
            </w:pPr>
            <w:r>
              <w:rPr>
                <w:caps w:val="false"/>
                <w:smallCaps w:val="false"/>
              </w:rPr>
              <w:t xml:space="preserve">○ </w:t>
            </w:r>
          </w:p>
        </w:tc>
        <w:tc>
          <w:tcPr>
            <w:tcW w:w="68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Capitalization rate: </w:t>
            </w:r>
            <w:bookmarkStart w:id="1140" w:name="xdx_90D_eus-gaap--InvestmentCompanyInves"/>
            <w:bookmarkEnd w:id="1140"/>
            <w:r>
              <w:rPr>
                <w:rFonts w:ascii="Times New Roman;Times;Serif" w:hAnsi="Times New Roman;Times;Serif"/>
                <w:b w:val="false"/>
                <w:i w:val="false"/>
                <w:caps w:val="false"/>
                <w:smallCaps w:val="false"/>
                <w:sz w:val="20"/>
              </w:rPr>
              <w:t>37.0%</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30" w:type="dxa"/>
            <w:tcBorders/>
            <w:vAlign w:val="center"/>
          </w:tcPr>
          <w:p>
            <w:pPr>
              <w:pStyle w:val="TableContents"/>
              <w:bidi w:val="0"/>
              <w:spacing w:before="0" w:after="283"/>
              <w:jc w:val="both"/>
              <w:rPr>
                <w:caps w:val="false"/>
                <w:smallCaps w:val="false"/>
              </w:rPr>
            </w:pPr>
            <w:r>
              <w:rPr>
                <w:caps w:val="false"/>
                <w:smallCaps w:val="false"/>
              </w:rPr>
              <w:t>○</w:t>
            </w:r>
          </w:p>
        </w:tc>
        <w:tc>
          <w:tcPr>
            <w:tcW w:w="68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 growth rate: ~</w:t>
            </w:r>
            <w:bookmarkStart w:id="1141" w:name="xdx_901_ecustom--RevenueGrowthRateDescri"/>
            <w:bookmarkEnd w:id="1141"/>
            <w:r>
              <w:rPr>
                <w:rFonts w:ascii="Times New Roman;Times;Serif" w:hAnsi="Times New Roman;Times;Serif"/>
                <w:b w:val="false"/>
                <w:i w:val="false"/>
                <w:caps w:val="false"/>
                <w:smallCaps w:val="false"/>
                <w:sz w:val="20"/>
              </w:rPr>
              <w:t>106% average annual growth through FY2032, 3% thereafter</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30" w:type="dxa"/>
            <w:tcBorders/>
            <w:vAlign w:val="center"/>
          </w:tcPr>
          <w:p>
            <w:pPr>
              <w:pStyle w:val="TableContents"/>
              <w:bidi w:val="0"/>
              <w:spacing w:before="0" w:after="283"/>
              <w:jc w:val="both"/>
              <w:rPr>
                <w:caps w:val="false"/>
                <w:smallCaps w:val="false"/>
              </w:rPr>
            </w:pPr>
            <w:r>
              <w:rPr>
                <w:caps w:val="false"/>
                <w:smallCaps w:val="false"/>
              </w:rPr>
              <w:t>○</w:t>
            </w:r>
          </w:p>
        </w:tc>
        <w:tc>
          <w:tcPr>
            <w:tcW w:w="68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Expense rate: ~</w:t>
            </w:r>
            <w:bookmarkStart w:id="1142" w:name="xdx_907_eus-gaap--InvestmentCompanyInves"/>
            <w:bookmarkEnd w:id="1142"/>
            <w:r>
              <w:rPr>
                <w:rFonts w:ascii="Times New Roman;Times;Serif" w:hAnsi="Times New Roman;Times;Serif"/>
                <w:b w:val="false"/>
                <w:i w:val="false"/>
                <w:caps w:val="false"/>
                <w:smallCaps w:val="false"/>
                <w:sz w:val="20"/>
              </w:rPr>
              <w:t>16% to ~</w:t>
            </w:r>
            <w:bookmarkStart w:id="1143" w:name="xdx_904_eus-gaap--InvestmentCompanyInves"/>
            <w:bookmarkEnd w:id="1143"/>
            <w:r>
              <w:rPr>
                <w:rFonts w:ascii="Times New Roman;Times;Serif" w:hAnsi="Times New Roman;Times;Serif"/>
                <w:b w:val="false"/>
                <w:i w:val="false"/>
                <w:caps w:val="false"/>
                <w:smallCaps w:val="false"/>
                <w:sz w:val="20"/>
              </w:rPr>
              <w:t>26% of tokenization revenue over the forecast period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30" w:type="dxa"/>
            <w:tcBorders/>
            <w:vAlign w:val="center"/>
          </w:tcPr>
          <w:p>
            <w:pPr>
              <w:pStyle w:val="TableContents"/>
              <w:bidi w:val="0"/>
              <w:spacing w:before="0" w:after="283"/>
              <w:jc w:val="both"/>
              <w:rPr>
                <w:caps w:val="false"/>
                <w:smallCaps w:val="false"/>
              </w:rPr>
            </w:pPr>
            <w:r>
              <w:rPr>
                <w:caps w:val="false"/>
                <w:smallCaps w:val="false"/>
              </w:rPr>
              <w:t>○</w:t>
            </w:r>
          </w:p>
        </w:tc>
        <w:tc>
          <w:tcPr>
            <w:tcW w:w="68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Capital expenditure rate: </w:t>
            </w:r>
            <w:bookmarkStart w:id="1144" w:name="xdx_90C_eus-gaap--InvestmentCompanyInves"/>
            <w:bookmarkEnd w:id="1144"/>
            <w:r>
              <w:rPr>
                <w:rFonts w:ascii="Times New Roman;Times;Serif" w:hAnsi="Times New Roman;Times;Serif"/>
                <w:b w:val="false"/>
                <w:i w:val="false"/>
                <w:caps w:val="false"/>
                <w:smallCaps w:val="false"/>
                <w:sz w:val="20"/>
              </w:rPr>
              <w:t>1% of revenue annually</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30" w:type="dxa"/>
            <w:tcBorders/>
            <w:vAlign w:val="center"/>
          </w:tcPr>
          <w:p>
            <w:pPr>
              <w:pStyle w:val="TableContents"/>
              <w:bidi w:val="0"/>
              <w:spacing w:before="0" w:after="283"/>
              <w:jc w:val="both"/>
              <w:rPr>
                <w:caps w:val="false"/>
                <w:smallCaps w:val="false"/>
              </w:rPr>
            </w:pPr>
            <w:r>
              <w:rPr>
                <w:caps w:val="false"/>
                <w:smallCaps w:val="false"/>
              </w:rPr>
              <w:t xml:space="preserve">○ </w:t>
            </w:r>
          </w:p>
        </w:tc>
        <w:tc>
          <w:tcPr>
            <w:tcW w:w="68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Income tax rate: </w:t>
            </w:r>
            <w:bookmarkStart w:id="1145" w:name="xdx_90F_eus-gaap--InvestmentCompanyInves"/>
            <w:bookmarkEnd w:id="1145"/>
            <w:r>
              <w:rPr>
                <w:rFonts w:ascii="Times New Roman;Times;Serif" w:hAnsi="Times New Roman;Times;Serif"/>
                <w:b w:val="false"/>
                <w:i w:val="false"/>
                <w:caps w:val="false"/>
                <w:smallCaps w:val="false"/>
                <w:sz w:val="20"/>
              </w:rPr>
              <w:t>26%</w:t>
            </w:r>
          </w:p>
        </w:tc>
      </w:tr>
    </w:tbl>
    <w:p>
      <w:pPr>
        <w:pStyle w:val="TextBody"/>
        <w:bidi w:val="0"/>
        <w:spacing w:before="0" w:after="0"/>
        <w:ind w:left="0" w:right="0" w:hanging="0"/>
        <w:jc w:val="both"/>
        <w:rPr>
          <w:caps w:val="false"/>
          <w:smallCaps w:val="false"/>
        </w:rPr>
      </w:pPr>
      <w:r>
        <w:rPr>
          <w:caps w:val="false"/>
          <w:smallCaps w:val="false"/>
        </w:rPr>
        <w:t> </w:t>
      </w:r>
    </w:p>
    <w:tbl>
      <w:tblPr>
        <w:tblW w:w="4600" w:type="dxa"/>
        <w:jc w:val="left"/>
        <w:tblInd w:w="0" w:type="dxa"/>
        <w:tblLayout w:type="fixed"/>
        <w:tblCellMar>
          <w:top w:w="0" w:type="dxa"/>
          <w:left w:w="0" w:type="dxa"/>
          <w:bottom w:w="0" w:type="dxa"/>
          <w:right w:w="0" w:type="dxa"/>
        </w:tblCellMar>
      </w:tblPr>
      <w:tblGrid>
        <w:gridCol w:w="75"/>
        <w:gridCol w:w="230"/>
        <w:gridCol w:w="429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0" w:type="dxa"/>
            <w:tcBorders/>
            <w:vAlign w:val="center"/>
          </w:tcPr>
          <w:p>
            <w:pPr>
              <w:pStyle w:val="TableContents"/>
              <w:bidi w:val="0"/>
              <w:spacing w:before="0" w:after="283"/>
              <w:jc w:val="both"/>
              <w:rPr>
                <w:caps w:val="false"/>
                <w:smallCaps w:val="false"/>
              </w:rPr>
            </w:pPr>
            <w:r>
              <w:rPr>
                <w:caps w:val="false"/>
                <w:smallCaps w:val="false"/>
              </w:rPr>
              <w:t xml:space="preserve">● </w:t>
            </w:r>
          </w:p>
        </w:tc>
        <w:tc>
          <w:tcPr>
            <w:tcW w:w="42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Fair value conclusion: $</w:t>
            </w:r>
            <w:bookmarkStart w:id="1146" w:name="xdx_900_ecustom--FairValueExchangeableSh"/>
            <w:bookmarkEnd w:id="1146"/>
            <w:r>
              <w:rPr>
                <w:rFonts w:ascii="Times New Roman;Times;Serif" w:hAnsi="Times New Roman;Times;Serif"/>
                <w:b w:val="false"/>
                <w:i w:val="false"/>
                <w:caps w:val="false"/>
                <w:smallCaps w:val="false"/>
                <w:sz w:val="20"/>
              </w:rPr>
              <w:t>115.7 million (USD in 000s)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the fair value of the Exchangeable Shares remained was $115.7 million as of September 30, 2025. The instrument continues to be classified as Level 3 due to the absence of observable market inputs and the contingent nature of conversion.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bookmarkStart w:id="1147" w:name="xdx_894_eus-gaap--FairValueNetDerivative"/>
      <w:bookmarkEnd w:id="1147"/>
      <w:r>
        <w:rPr>
          <w:rFonts w:ascii="Times New Roman;Times;Serif" w:hAnsi="Times New Roman;Times;Serif"/>
          <w:b w:val="false"/>
          <w:i/>
          <w:caps w:val="false"/>
          <w:smallCaps w:val="false"/>
          <w:sz w:val="20"/>
        </w:rPr>
        <w:t>Rollforward of Level 3 Fair Value Measurements: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bookmarkStart w:id="1148" w:name="xdx_8B3_zRdcpQ2tVDB5"/>
      <w:bookmarkEnd w:id="1148"/>
      <w:r>
        <w:rPr>
          <w:rFonts w:ascii="Times New Roman;Times;Serif" w:hAnsi="Times New Roman;Times;Serif"/>
          <w:b w:val="false"/>
          <w:i w:val="false"/>
          <w:caps w:val="false"/>
          <w:smallCaps w:val="false"/>
          <w:sz w:val="20"/>
        </w:rPr>
        <w:t>SUMMARY OF FAIR VALUE MEASUREMENTS DERIVATIVE LIABILITY</w:t>
      </w:r>
    </w:p>
    <w:tbl>
      <w:tblPr>
        <w:tblW w:w="5049" w:type="dxa"/>
        <w:jc w:val="left"/>
        <w:tblInd w:w="0" w:type="dxa"/>
        <w:tblLayout w:type="fixed"/>
        <w:tblCellMar>
          <w:top w:w="0" w:type="dxa"/>
          <w:left w:w="0" w:type="dxa"/>
          <w:bottom w:w="0" w:type="dxa"/>
          <w:right w:w="0" w:type="dxa"/>
        </w:tblCellMar>
      </w:tblPr>
      <w:tblGrid>
        <w:gridCol w:w="3575"/>
        <w:gridCol w:w="60"/>
        <w:gridCol w:w="204"/>
        <w:gridCol w:w="1135"/>
        <w:gridCol w:w="75"/>
      </w:tblGrid>
      <w:tr>
        <w:trPr/>
        <w:tc>
          <w:tcPr>
            <w:tcW w:w="357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bookmarkStart w:id="1149" w:name="xdx_491_20250528__20250930__us-gaap--Fai"/>
            <w:bookmarkEnd w:id="1149"/>
          </w:p>
        </w:tc>
        <w:tc>
          <w:tcPr>
            <w:tcW w:w="133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Amount ($000s)</w:t>
            </w:r>
          </w:p>
        </w:tc>
        <w:tc>
          <w:tcPr>
            <w:tcW w:w="75" w:type="dxa"/>
            <w:tcBorders/>
            <w:vAlign w:val="center"/>
          </w:tcPr>
          <w:p>
            <w:pPr>
              <w:pStyle w:val="TableContents"/>
              <w:bidi w:val="0"/>
              <w:spacing w:before="0" w:after="283"/>
              <w:jc w:val="left"/>
              <w:rPr>
                <w:caps w:val="false"/>
                <w:smallCaps w:val="false"/>
              </w:rPr>
            </w:pPr>
            <w:r>
              <w:rPr>
                <w:caps w:val="false"/>
                <w:smallCaps w:val="false"/>
              </w:rPr>
              <w:t> </w:t>
            </w:r>
            <w:bookmarkStart w:id="1150" w:name="xdx_40B_eus-gaap--FairValueNetDerivative"/>
            <w:bookmarkEnd w:id="1150"/>
          </w:p>
        </w:tc>
      </w:tr>
      <w:tr>
        <w:trPr/>
        <w:tc>
          <w:tcPr>
            <w:tcW w:w="35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Initial recognition (May 28, 2025)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3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105,498</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1151" w:name="xdx_40C_ecustom--ChangeInFairValueOfDeri"/>
            <w:bookmarkEnd w:id="1151"/>
          </w:p>
        </w:tc>
      </w:tr>
      <w:tr>
        <w:trPr/>
        <w:tc>
          <w:tcPr>
            <w:tcW w:w="35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 in fair value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3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10,214</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1152" w:name="xdx_407_ecustom--SettlementsExchangeToCo"/>
            <w:bookmarkEnd w:id="1152"/>
          </w:p>
        </w:tc>
      </w:tr>
      <w:tr>
        <w:trPr/>
        <w:tc>
          <w:tcPr>
            <w:tcW w:w="35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Settlements (Exchange to Common Stock)</w:t>
            </w:r>
            <w:bookmarkStart w:id="1153" w:name="xdx_F4D_zeTYtbDOBLf5"/>
            <w:bookmarkEnd w:id="1153"/>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3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1154" w:name="xdx_405_eus-gaap--FairValueNetDerivative"/>
            <w:bookmarkEnd w:id="1154"/>
          </w:p>
        </w:tc>
      </w:tr>
      <w:tr>
        <w:trPr/>
        <w:tc>
          <w:tcPr>
            <w:tcW w:w="35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Balance as of September 30, 2025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3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115,712</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bookmarkStart w:id="1155" w:name="xdx_F0B_z4UWXGVAMh92"/>
            <w:bookmarkEnd w:id="1155"/>
            <w:r>
              <w:rPr>
                <w:rFonts w:ascii="Times New Roman;Times;Serif" w:hAnsi="Times New Roman;Times;Serif"/>
                <w:b w:val="false"/>
                <w:i w:val="false"/>
                <w:caps w:val="false"/>
                <w:smallCaps w:val="false"/>
                <w:sz w:val="20"/>
              </w:rPr>
              <w:t>*</w:t>
            </w:r>
          </w:p>
        </w:tc>
        <w:tc>
          <w:tcPr>
            <w:tcW w:w="10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bookmarkStart w:id="1156" w:name="xdx_F1D_zOQLtWm2Jag2"/>
            <w:bookmarkEnd w:id="1156"/>
            <w:r>
              <w:rPr>
                <w:rFonts w:ascii="Times New Roman;Times;Serif" w:hAnsi="Times New Roman;Times;Serif"/>
                <w:b w:val="false"/>
                <w:i w:val="false"/>
                <w:caps w:val="false"/>
                <w:smallCaps w:val="false"/>
                <w:sz w:val="20"/>
              </w:rPr>
              <w:t>Represents the reduction in derivative liability for Exchangeable Shares exchanged for common stock upon shareholder approval. No exchanges occurred during the period ended September 30, 2025.</w:t>
            </w:r>
          </w:p>
        </w:tc>
      </w:tr>
    </w:tbl>
    <w:p>
      <w:pPr>
        <w:pStyle w:val="TextBody"/>
        <w:bidi w:val="0"/>
        <w:spacing w:before="0" w:after="0"/>
        <w:ind w:left="0" w:right="0" w:hanging="0"/>
        <w:jc w:val="both"/>
        <w:rPr>
          <w:caps w:val="false"/>
          <w:smallCaps w:val="false"/>
        </w:rPr>
      </w:pPr>
      <w:bookmarkStart w:id="1157" w:name="xdx_8A8_zAnhSZu2BSc8"/>
      <w:bookmarkEnd w:id="1157"/>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were no transfers into or out of Level 3 during the period. Any future exchanges of Exchangeable Shares for common stock will be reflected as settlements in the rollforward table.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valuation process for Level 3 fair value measurements involves consultation with independent valuation specialists and review by management. The process includes regular reassessment of key assumptions and inputs.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fair value of the Exchangeable Shares is sensitive to changes in key unobservable inputs, particularly the discount rate and projected cash flows. An increase in the discount rate or a decrease in projected cash flows would result in a lower fair value measurement. These inputs are interrelated, as higher perceived risk (reflected in the discount rate) may also impact management’s cash flow expectations. Due to the venture-stage nature of Streamex Exchange and the contingent conversion feature, the valuation remains highly sensitive to these assumptions.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158" w:name="xdx_805_eus-gaap--InvestmentTextBlock_ze"/>
      <w:bookmarkEnd w:id="1158"/>
      <w:r>
        <w:rPr>
          <w:rFonts w:ascii="Times New Roman;Times;Serif" w:hAnsi="Times New Roman;Times;Serif"/>
          <w:b/>
          <w:i w:val="false"/>
          <w:caps w:val="false"/>
          <w:smallCaps w:val="false"/>
          <w:sz w:val="20"/>
        </w:rPr>
        <w:t xml:space="preserve">NOTE 15 – </w:t>
      </w:r>
      <w:bookmarkStart w:id="1159" w:name="xdx_82E_zZflGNvHWWTg"/>
      <w:bookmarkEnd w:id="1159"/>
      <w:r>
        <w:rPr>
          <w:rFonts w:ascii="Times New Roman;Times;Serif" w:hAnsi="Times New Roman;Times;Serif"/>
          <w:b/>
          <w:i w:val="false"/>
          <w:caps w:val="false"/>
          <w:smallCaps w:val="false"/>
          <w:sz w:val="20"/>
        </w:rPr>
        <w:t>INVESTMENT IN TRIVIEW CAPITAL LTD.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June 1, 2025, the Company entered into an agreement with TriView Capital Ltd. (“TriView”) to acquire </w:t>
      </w:r>
      <w:bookmarkStart w:id="1160" w:name="xdx_902_eus-gaap--EquityMethodInvestment"/>
      <w:bookmarkEnd w:id="1160"/>
      <w:r>
        <w:rPr>
          <w:rFonts w:ascii="Times New Roman;Times;Serif" w:hAnsi="Times New Roman;Times;Serif"/>
          <w:b w:val="false"/>
          <w:i w:val="false"/>
          <w:caps w:val="false"/>
          <w:smallCaps w:val="false"/>
          <w:sz w:val="20"/>
        </w:rPr>
        <w:t>9.9% of TriView’s issued and outstanding shares for a total purchase price of CAD $</w:t>
      </w:r>
      <w:bookmarkStart w:id="1161" w:name="xdx_903_eus-gaap--PaymentsToAcquireBusin"/>
      <w:bookmarkEnd w:id="1161"/>
      <w:r>
        <w:rPr>
          <w:rFonts w:ascii="Times New Roman;Times;Serif" w:hAnsi="Times New Roman;Times;Serif"/>
          <w:b w:val="false"/>
          <w:i w:val="false"/>
          <w:caps w:val="false"/>
          <w:smallCaps w:val="false"/>
          <w:sz w:val="20"/>
        </w:rPr>
        <w:t>198,000 (approximately USD $</w:t>
      </w:r>
      <w:bookmarkStart w:id="1162" w:name="xdx_90B_eus-gaap--PaymentsToAcquireBusin"/>
      <w:bookmarkEnd w:id="1162"/>
      <w:r>
        <w:rPr>
          <w:rFonts w:ascii="Times New Roman;Times;Serif" w:hAnsi="Times New Roman;Times;Serif"/>
          <w:b w:val="false"/>
          <w:i w:val="false"/>
          <w:caps w:val="false"/>
          <w:smallCaps w:val="false"/>
          <w:sz w:val="20"/>
        </w:rPr>
        <w:t xml:space="preserve">146,843), payable in four equal monthly installments from June through September 2025. The Company completed all installment payments during the quarter ended September 30, 2025 and expects to receive the shares representing its </w:t>
      </w:r>
      <w:bookmarkStart w:id="1163" w:name="xdx_901_eus-gaap--EquityMethodInvestment"/>
      <w:bookmarkEnd w:id="1163"/>
      <w:r>
        <w:rPr>
          <w:rFonts w:ascii="Times New Roman;Times;Serif" w:hAnsi="Times New Roman;Times;Serif"/>
          <w:b w:val="false"/>
          <w:i w:val="false"/>
          <w:caps w:val="false"/>
          <w:smallCaps w:val="false"/>
          <w:sz w:val="20"/>
        </w:rPr>
        <w:t>9.9% ownership interest.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investment is accounted for under ASC 321, Investments – Equity Securities, and is recorded at cost as a non-marketable equity security. As of September 30, 2025, the carrying amount of the investment was approximately USD $</w:t>
      </w:r>
      <w:bookmarkStart w:id="1164" w:name="xdx_903_eus-gaap--Investments_iI_c202509"/>
      <w:bookmarkEnd w:id="1164"/>
      <w:r>
        <w:rPr>
          <w:rFonts w:ascii="Times New Roman;Times;Serif" w:hAnsi="Times New Roman;Times;Serif"/>
          <w:b w:val="false"/>
          <w:i w:val="false"/>
          <w:caps w:val="false"/>
          <w:smallCaps w:val="false"/>
          <w:sz w:val="20"/>
        </w:rPr>
        <w:t>142,000, based on the cumulative USD equivalent of CAD $</w:t>
      </w:r>
      <w:bookmarkStart w:id="1165" w:name="xdx_90C_eus-gaap--Investments_iI_uCAD_c2"/>
      <w:bookmarkEnd w:id="1165"/>
      <w:r>
        <w:rPr>
          <w:rFonts w:ascii="Times New Roman;Times;Serif" w:hAnsi="Times New Roman;Times;Serif"/>
          <w:b w:val="false"/>
          <w:i w:val="false"/>
          <w:caps w:val="false"/>
          <w:smallCaps w:val="false"/>
          <w:sz w:val="20"/>
        </w:rPr>
        <w:t>198,000 translated at payment dates. The Company will evaluate the investment for impairment and adjust for observable price changes in orderly transactions for identical or similar securities, if 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Under the agreement, the Company also holds an option to acquire the remaining </w:t>
      </w:r>
      <w:bookmarkStart w:id="1166" w:name="xdx_90B_eus-gaap--BusinessCombinationSte"/>
      <w:bookmarkEnd w:id="1166"/>
      <w:r>
        <w:rPr>
          <w:rFonts w:ascii="Times New Roman;Times;Serif" w:hAnsi="Times New Roman;Times;Serif"/>
          <w:b w:val="false"/>
          <w:i w:val="false"/>
          <w:caps w:val="false"/>
          <w:smallCaps w:val="false"/>
          <w:sz w:val="20"/>
        </w:rPr>
        <w:t>90.1% of TriView’s outstanding shares for CAD $</w:t>
      </w:r>
      <w:bookmarkStart w:id="1167" w:name="xdx_904_eus-gaap--BusinessCombinationSte"/>
      <w:bookmarkEnd w:id="1167"/>
      <w:r>
        <w:rPr>
          <w:rFonts w:ascii="Times New Roman;Times;Serif" w:hAnsi="Times New Roman;Times;Serif"/>
          <w:b w:val="false"/>
          <w:i w:val="false"/>
          <w:caps w:val="false"/>
          <w:smallCaps w:val="false"/>
          <w:sz w:val="20"/>
        </w:rPr>
        <w:t>1.8 million (approximately USD $</w:t>
      </w:r>
      <w:bookmarkStart w:id="1168" w:name="xdx_908_eus-gaap--BusinessCombinationSte"/>
      <w:bookmarkEnd w:id="1168"/>
      <w:r>
        <w:rPr>
          <w:rFonts w:ascii="Times New Roman;Times;Serif" w:hAnsi="Times New Roman;Times;Serif"/>
          <w:b w:val="false"/>
          <w:i w:val="false"/>
          <w:caps w:val="false"/>
          <w:smallCaps w:val="false"/>
          <w:sz w:val="20"/>
        </w:rPr>
        <w:t>1.3 million) at any time prior to December 12, 2025. This option has not been exercised as of September 30, 2025 and is disclosed as a commitment. TriView retains the right to cancel the agreement prior to issuance of shares, in which case amounts paid would be refunded; management believes the likelihood of cancellation is remote.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169" w:name="xdx_803_eus-gaap--SegmentReportingDisclo"/>
      <w:bookmarkEnd w:id="1169"/>
      <w:r>
        <w:rPr>
          <w:rFonts w:ascii="Times New Roman;Times;Serif" w:hAnsi="Times New Roman;Times;Serif"/>
          <w:b/>
          <w:i w:val="false"/>
          <w:caps w:val="false"/>
          <w:smallCaps w:val="false"/>
          <w:sz w:val="20"/>
        </w:rPr>
        <w:t xml:space="preserve">NOTE 16 – </w:t>
      </w:r>
      <w:bookmarkStart w:id="1170" w:name="xdx_827_zdJmhraLbxe"/>
      <w:bookmarkEnd w:id="1170"/>
      <w:r>
        <w:rPr>
          <w:rFonts w:ascii="Times New Roman;Times;Serif" w:hAnsi="Times New Roman;Times;Serif"/>
          <w:b/>
          <w:i w:val="false"/>
          <w:caps w:val="false"/>
          <w:smallCaps w:val="false"/>
          <w:sz w:val="20"/>
        </w:rPr>
        <w:t>SEGMENT REPORTING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Chief Operating Decision Maker (CODM) and Segment Evaluation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28, 2025, in connection with the acquisition of Streamex Exchange, the Company appointed Henry McPhie, former co-founder and CEO of Streamex Exchange, as its new Chief Executive Officer and Board of Directors. As a result of this leadership change, Mr. McPhie was designated as the Company’s new Chief Operating Decision Maker (“CODM”), replacing Anthony Amato, the Company’s former CEO and director.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this change, the Company re-evaluated its operating and reportable segments based on the internal financial information reviewed by the CODM for purposes of performance assessment and resource allocation. Although the acquisition of Streamex Exchange introduced a new line of business focused on digital asset infrastructure, the CODM has not yet begun reviewing Streamex Exchange’s operating results separately for purposes of performance assessment or resource allocation. As of September 30, 2025, the CODM continues to evaluate the Company’s financial performance on a consolidated basis, and the internal reporting structure has not been modified to reflect discrete segment-level financial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believes that a transitional period is appropriate given the timing of the acquisition, the pre-revenue status of Streamex Exchange, and the pending financing and shareholder approvals necessary to operationalize the Streamex Exchange platform. Accordingly, the Company has concluded that no change in reportable segments has occurred as of September 30, 2025. The Company will continue to monitor the CODM’s review practices and internal reporting structure and will update its segment disclosures in future periods if and when discrete financial information is regularly reviewed at the segment level.</w:t>
      </w:r>
    </w:p>
    <w:p>
      <w:pPr>
        <w:pStyle w:val="TextBody"/>
        <w:bidi w:val="0"/>
        <w:spacing w:before="0" w:after="0"/>
        <w:ind w:left="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29</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STREAMEX CORP.</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THE CONDENSED CONSOLIDATED FINANCIAL STATEMENTS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SEPTEMBER 30, 2025 </w:t>
      </w:r>
      <w:r>
        <w:rPr>
          <w:rFonts w:ascii="Times New Roman;Times;Serif" w:hAnsi="Times New Roman;Times;Serif"/>
          <w:b/>
          <w:i/>
          <w:caps w:val="false"/>
          <w:smallCaps w:val="false"/>
          <w:sz w:val="20"/>
        </w:rPr>
        <w:t>(</w:t>
      </w:r>
      <w:r>
        <w:rPr>
          <w:rFonts w:ascii="Times New Roman;Times;Serif" w:hAnsi="Times New Roman;Times;Serif"/>
          <w:b/>
          <w:i w:val="false"/>
          <w:caps w:val="false"/>
          <w:smallCaps w:val="false"/>
          <w:sz w:val="20"/>
        </w:rPr>
        <w:t>Unaudited</w:t>
      </w:r>
      <w:r>
        <w:rPr>
          <w:rFonts w:ascii="Times New Roman;Times;Serif" w:hAnsi="Times New Roman;Times;Serif"/>
          <w:b/>
          <w:i/>
          <w:caps w:val="false"/>
          <w:smallCaps w:val="false"/>
          <w:sz w:val="20"/>
        </w:rPr>
        <w: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ASC 280-10-50-34, if a change in reportable segments occurs in a future period, the Company will recast prior-period segment disclosures retrospectively to reflect the new segment structure.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Basis of Segmentation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Company’s CODM evaluates financial performance and allocates resources on a consolidated basis. The Company manages its operations as </w:t>
      </w:r>
      <w:bookmarkStart w:id="1171" w:name="xdx_904_eus-gaap--NumberOfReportableSegm"/>
      <w:bookmarkEnd w:id="1171"/>
      <w:r>
        <w:rPr>
          <w:rFonts w:ascii="Times New Roman;Times;Serif" w:hAnsi="Times New Roman;Times;Serif"/>
          <w:b w:val="false"/>
          <w:i w:val="false"/>
          <w:caps w:val="false"/>
          <w:smallCaps w:val="false"/>
          <w:sz w:val="20"/>
        </w:rPr>
        <w:t>one integrated business, and the CODM does not receive or review separate financial information for Streamex Exchange or any other business unit. This approach reflects the manner in which the CODM:</w:t>
      </w:r>
    </w:p>
    <w:p>
      <w:pPr>
        <w:pStyle w:val="TextBody"/>
        <w:bidi w:val="0"/>
        <w:spacing w:before="0" w:after="0"/>
        <w:ind w:left="0" w:right="0" w:hanging="0"/>
        <w:jc w:val="both"/>
        <w:rPr>
          <w:caps w:val="false"/>
          <w:smallCaps w:val="false"/>
        </w:rPr>
      </w:pPr>
      <w:r>
        <w:rPr>
          <w:caps w:val="false"/>
          <w:smallCaps w:val="false"/>
        </w:rPr>
        <w:t> </w:t>
      </w:r>
    </w:p>
    <w:tbl>
      <w:tblPr>
        <w:tblW w:w="4105" w:type="dxa"/>
        <w:jc w:val="left"/>
        <w:tblInd w:w="0" w:type="dxa"/>
        <w:tblLayout w:type="fixed"/>
        <w:tblCellMar>
          <w:top w:w="0" w:type="dxa"/>
          <w:left w:w="0" w:type="dxa"/>
          <w:bottom w:w="0" w:type="dxa"/>
          <w:right w:w="0" w:type="dxa"/>
        </w:tblCellMar>
      </w:tblPr>
      <w:tblGrid>
        <w:gridCol w:w="75"/>
        <w:gridCol w:w="170"/>
        <w:gridCol w:w="38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38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Assesses performance against budgeted targets;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38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Forecasts future financial results;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38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Makes strategic and operational decisions;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38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Allocates resources across the organization.</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Accordingly, the Company has determined that it operates as one reportable and operating segment as of September 30,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continues to evaluate whether the Streamex Exchange business may become a separate reportable segment in future periods, depending on the scale and financial significance, and the CODM’s review of discrete operating results.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Segment Performance Measures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primary measure used by the CODM to assess performance is consolidated net loss, which is reviewed in conjunction with other consolidated financial metrics. The CODM also evaluates actual results against budgeted amounts and considers consolidated operating results in making decisions about research and development investments and other strategic initiatives.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Segment assets are not separately reported to or reviewed by the CODM. Therefore, the Company does not disclose segment asset information. All assets are managed on a consolidated basis and are reported in the Company’s unaudited condensed consolidated balance sheets.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does not currently disclose geographic revenue or customer concentration by segment, as such information is not reviewed by the CODM. However, this will be reassessed as operations evolve.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Revenue and Expense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1172" w:name="xdx_892_eus-gaap--ScheduleOfSegmentRepor"/>
      <w:bookmarkEnd w:id="1172"/>
      <w:r>
        <w:rPr>
          <w:rFonts w:ascii="Times New Roman;Times;Serif" w:hAnsi="Times New Roman;Times;Serif"/>
          <w:b w:val="false"/>
          <w:i w:val="false"/>
          <w:caps w:val="false"/>
          <w:smallCaps w:val="false"/>
          <w:sz w:val="20"/>
        </w:rPr>
        <w:t>Information concerning the operations of the Company’s reportable segments is as follows:</w:t>
      </w:r>
    </w:p>
    <w:p>
      <w:pPr>
        <w:pStyle w:val="TextBody"/>
        <w:bidi w:val="0"/>
        <w:spacing w:before="0" w:after="0"/>
        <w:ind w:left="0" w:right="0" w:hanging="0"/>
        <w:jc w:val="both"/>
        <w:rPr>
          <w:caps w:val="false"/>
          <w:smallCaps w:val="false"/>
        </w:rPr>
      </w:pPr>
      <w:r>
        <w:rPr>
          <w:caps w:val="false"/>
          <w:smallCaps w:val="false"/>
        </w:rPr>
        <w:t> </w:t>
      </w:r>
      <w:bookmarkStart w:id="1173" w:name="xdx_8BD_zy5JM575rQNj"/>
      <w:bookmarkEnd w:id="1173"/>
      <w:r>
        <w:rPr>
          <w:rFonts w:ascii="Times New Roman;Times;Serif" w:hAnsi="Times New Roman;Times;Serif"/>
          <w:b w:val="false"/>
          <w:i w:val="false"/>
          <w:caps w:val="false"/>
          <w:smallCaps w:val="false"/>
          <w:sz w:val="20"/>
        </w:rPr>
        <w:t>SCHEDULE OF SEGMENT REPORTING</w:t>
      </w:r>
    </w:p>
    <w:tbl>
      <w:tblPr>
        <w:tblW w:w="10205" w:type="dxa"/>
        <w:jc w:val="left"/>
        <w:tblInd w:w="0" w:type="dxa"/>
        <w:tblLayout w:type="fixed"/>
        <w:tblCellMar>
          <w:top w:w="0" w:type="dxa"/>
          <w:left w:w="0" w:type="dxa"/>
          <w:bottom w:w="0" w:type="dxa"/>
          <w:right w:w="0" w:type="dxa"/>
        </w:tblCellMar>
      </w:tblPr>
      <w:tblGrid>
        <w:gridCol w:w="3776"/>
        <w:gridCol w:w="60"/>
        <w:gridCol w:w="233"/>
        <w:gridCol w:w="1258"/>
        <w:gridCol w:w="158"/>
        <w:gridCol w:w="99"/>
        <w:gridCol w:w="233"/>
        <w:gridCol w:w="1059"/>
        <w:gridCol w:w="95"/>
        <w:gridCol w:w="60"/>
        <w:gridCol w:w="219"/>
        <w:gridCol w:w="1188"/>
        <w:gridCol w:w="149"/>
        <w:gridCol w:w="94"/>
        <w:gridCol w:w="219"/>
        <w:gridCol w:w="1188"/>
        <w:gridCol w:w="117"/>
      </w:tblGrid>
      <w:tr>
        <w:trPr/>
        <w:tc>
          <w:tcPr>
            <w:tcW w:w="377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174" w:name="xdx_499_20250701__20250930__us-gaap--Sta"/>
            <w:bookmarkEnd w:id="1174"/>
          </w:p>
        </w:tc>
        <w:tc>
          <w:tcPr>
            <w:tcW w:w="1491" w:type="dxa"/>
            <w:gridSpan w:val="2"/>
            <w:tcBorders/>
            <w:vAlign w:val="center"/>
          </w:tcPr>
          <w:p>
            <w:pPr>
              <w:pStyle w:val="TableContents"/>
              <w:bidi w:val="0"/>
              <w:spacing w:before="0" w:after="283"/>
              <w:jc w:val="center"/>
              <w:rPr>
                <w:b/>
              </w:rPr>
            </w:pPr>
            <w:r>
              <w:rPr>
                <w:b/>
              </w:rPr>
              <w:t>2025</w:t>
            </w:r>
          </w:p>
        </w:tc>
        <w:tc>
          <w:tcPr>
            <w:tcW w:w="158" w:type="dxa"/>
            <w:tcBorders/>
            <w:vAlign w:val="center"/>
          </w:tcPr>
          <w:p>
            <w:pPr>
              <w:pStyle w:val="TableContents"/>
              <w:bidi w:val="0"/>
              <w:spacing w:before="0" w:after="283"/>
              <w:jc w:val="left"/>
              <w:rPr/>
            </w:pPr>
            <w:r>
              <w:rPr/>
              <w:t> </w:t>
            </w:r>
          </w:p>
        </w:tc>
        <w:tc>
          <w:tcPr>
            <w:tcW w:w="99" w:type="dxa"/>
            <w:tcBorders/>
            <w:vAlign w:val="center"/>
          </w:tcPr>
          <w:p>
            <w:pPr>
              <w:pStyle w:val="TableContents"/>
              <w:bidi w:val="0"/>
              <w:spacing w:before="0" w:after="283"/>
              <w:jc w:val="left"/>
              <w:rPr/>
            </w:pPr>
            <w:r>
              <w:rPr/>
              <w:t> </w:t>
            </w:r>
            <w:bookmarkStart w:id="1175" w:name="xdx_498_20240701__20240930__us-gaap--Sta"/>
            <w:bookmarkEnd w:id="1175"/>
          </w:p>
        </w:tc>
        <w:tc>
          <w:tcPr>
            <w:tcW w:w="1292" w:type="dxa"/>
            <w:gridSpan w:val="2"/>
            <w:tcBorders/>
            <w:vAlign w:val="center"/>
          </w:tcPr>
          <w:p>
            <w:pPr>
              <w:pStyle w:val="TableContents"/>
              <w:bidi w:val="0"/>
              <w:spacing w:before="0" w:after="283"/>
              <w:jc w:val="center"/>
              <w:rPr>
                <w:b/>
              </w:rPr>
            </w:pPr>
            <w:r>
              <w:rPr>
                <w:b/>
              </w:rPr>
              <w:t>2024</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176" w:name="xdx_490_20250101__20250930__us-gaap--Sta"/>
            <w:bookmarkEnd w:id="1176"/>
          </w:p>
        </w:tc>
        <w:tc>
          <w:tcPr>
            <w:tcW w:w="1407" w:type="dxa"/>
            <w:gridSpan w:val="2"/>
            <w:tcBorders/>
            <w:vAlign w:val="center"/>
          </w:tcPr>
          <w:p>
            <w:pPr>
              <w:pStyle w:val="TableContents"/>
              <w:bidi w:val="0"/>
              <w:spacing w:before="0" w:after="283"/>
              <w:jc w:val="center"/>
              <w:rPr>
                <w:b/>
              </w:rPr>
            </w:pPr>
            <w:r>
              <w:rPr>
                <w:b/>
              </w:rPr>
              <w:t>2025</w:t>
            </w:r>
          </w:p>
        </w:tc>
        <w:tc>
          <w:tcPr>
            <w:tcW w:w="149"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bookmarkStart w:id="1177" w:name="xdx_499_20240101__20240930__us-gaap--Sta"/>
            <w:bookmarkEnd w:id="1177"/>
          </w:p>
        </w:tc>
        <w:tc>
          <w:tcPr>
            <w:tcW w:w="1407" w:type="dxa"/>
            <w:gridSpan w:val="2"/>
            <w:tcBorders/>
            <w:vAlign w:val="center"/>
          </w:tcPr>
          <w:p>
            <w:pPr>
              <w:pStyle w:val="TableContents"/>
              <w:bidi w:val="0"/>
              <w:spacing w:before="0" w:after="283"/>
              <w:jc w:val="center"/>
              <w:rPr>
                <w:b/>
              </w:rPr>
            </w:pPr>
            <w:r>
              <w:rPr>
                <w:b/>
              </w:rPr>
              <w:t>2024</w:t>
            </w:r>
          </w:p>
        </w:tc>
        <w:tc>
          <w:tcPr>
            <w:tcW w:w="117" w:type="dxa"/>
            <w:tcBorders/>
            <w:vAlign w:val="center"/>
          </w:tcPr>
          <w:p>
            <w:pPr>
              <w:pStyle w:val="TableContents"/>
              <w:bidi w:val="0"/>
              <w:spacing w:before="0" w:after="283"/>
              <w:jc w:val="left"/>
              <w:rPr/>
            </w:pPr>
            <w:r>
              <w:rPr/>
              <w:t> </w:t>
            </w:r>
          </w:p>
        </w:tc>
      </w:tr>
      <w:tr>
        <w:trPr/>
        <w:tc>
          <w:tcPr>
            <w:tcW w:w="377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4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For the three months ended September 30,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57" w:type="dxa"/>
            <w:gridSpan w:val="6"/>
            <w:tcBorders>
              <w:bottom w:val="single" w:sz="8" w:space="0" w:color="000000"/>
            </w:tcBorders>
            <w:tcMar>
              <w:bottom w:w="28" w:type="dxa"/>
            </w:tcMar>
            <w:vAlign w:val="center"/>
          </w:tcPr>
          <w:p>
            <w:pPr>
              <w:pStyle w:val="TableContents"/>
              <w:bidi w:val="0"/>
              <w:spacing w:before="0" w:after="283"/>
              <w:jc w:val="center"/>
              <w:rPr>
                <w:b/>
              </w:rPr>
            </w:pPr>
            <w:r>
              <w:rPr>
                <w:b/>
              </w:rPr>
              <w:t>For the nine months ended September 30,</w:t>
            </w:r>
          </w:p>
        </w:tc>
        <w:tc>
          <w:tcPr>
            <w:tcW w:w="117" w:type="dxa"/>
            <w:tcBorders/>
            <w:vAlign w:val="center"/>
          </w:tcPr>
          <w:p>
            <w:pPr>
              <w:pStyle w:val="TableContents"/>
              <w:bidi w:val="0"/>
              <w:spacing w:before="0" w:after="283"/>
              <w:jc w:val="left"/>
              <w:rPr/>
            </w:pPr>
            <w:r>
              <w:rPr/>
              <w:t> </w:t>
            </w:r>
          </w:p>
        </w:tc>
      </w:tr>
      <w:tr>
        <w:trPr/>
        <w:tc>
          <w:tcPr>
            <w:tcW w:w="377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91" w:type="dxa"/>
            <w:gridSpan w:val="2"/>
            <w:tcBorders/>
            <w:vAlign w:val="center"/>
          </w:tcPr>
          <w:p>
            <w:pPr>
              <w:pStyle w:val="TableContents"/>
              <w:bidi w:val="0"/>
              <w:spacing w:before="0" w:after="283"/>
              <w:jc w:val="center"/>
              <w:rPr>
                <w:b/>
              </w:rPr>
            </w:pPr>
            <w:r>
              <w:rPr>
                <w:b/>
              </w:rPr>
              <w:t>2025</w:t>
            </w:r>
          </w:p>
        </w:tc>
        <w:tc>
          <w:tcPr>
            <w:tcW w:w="158" w:type="dxa"/>
            <w:tcBorders/>
            <w:vAlign w:val="center"/>
          </w:tcPr>
          <w:p>
            <w:pPr>
              <w:pStyle w:val="TableContents"/>
              <w:bidi w:val="0"/>
              <w:spacing w:before="0" w:after="283"/>
              <w:jc w:val="left"/>
              <w:rPr/>
            </w:pPr>
            <w:r>
              <w:rPr/>
              <w:t> </w:t>
            </w:r>
          </w:p>
        </w:tc>
        <w:tc>
          <w:tcPr>
            <w:tcW w:w="99" w:type="dxa"/>
            <w:tcBorders/>
            <w:vAlign w:val="center"/>
          </w:tcPr>
          <w:p>
            <w:pPr>
              <w:pStyle w:val="TableContents"/>
              <w:bidi w:val="0"/>
              <w:spacing w:before="0" w:after="283"/>
              <w:jc w:val="left"/>
              <w:rPr/>
            </w:pPr>
            <w:r>
              <w:rPr/>
              <w:t> </w:t>
            </w:r>
          </w:p>
        </w:tc>
        <w:tc>
          <w:tcPr>
            <w:tcW w:w="1292" w:type="dxa"/>
            <w:gridSpan w:val="2"/>
            <w:tcBorders/>
            <w:vAlign w:val="center"/>
          </w:tcPr>
          <w:p>
            <w:pPr>
              <w:pStyle w:val="TableContents"/>
              <w:bidi w:val="0"/>
              <w:spacing w:before="0" w:after="283"/>
              <w:jc w:val="center"/>
              <w:rPr>
                <w:b/>
              </w:rPr>
            </w:pPr>
            <w:r>
              <w:rPr>
                <w:b/>
              </w:rPr>
              <w:t>2024</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7" w:type="dxa"/>
            <w:gridSpan w:val="2"/>
            <w:tcBorders/>
            <w:vAlign w:val="center"/>
          </w:tcPr>
          <w:p>
            <w:pPr>
              <w:pStyle w:val="TableContents"/>
              <w:bidi w:val="0"/>
              <w:spacing w:before="0" w:after="283"/>
              <w:jc w:val="center"/>
              <w:rPr>
                <w:b/>
              </w:rPr>
            </w:pPr>
            <w:r>
              <w:rPr>
                <w:b/>
              </w:rPr>
              <w:t>2025</w:t>
            </w:r>
          </w:p>
        </w:tc>
        <w:tc>
          <w:tcPr>
            <w:tcW w:w="149"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1407" w:type="dxa"/>
            <w:gridSpan w:val="2"/>
            <w:tcBorders/>
            <w:vAlign w:val="center"/>
          </w:tcPr>
          <w:p>
            <w:pPr>
              <w:pStyle w:val="TableContents"/>
              <w:bidi w:val="0"/>
              <w:spacing w:before="0" w:after="283"/>
              <w:jc w:val="center"/>
              <w:rPr>
                <w:b/>
              </w:rPr>
            </w:pPr>
            <w:r>
              <w:rPr>
                <w:b/>
              </w:rPr>
              <w:t>2024</w:t>
            </w:r>
          </w:p>
        </w:tc>
        <w:tc>
          <w:tcPr>
            <w:tcW w:w="117" w:type="dxa"/>
            <w:tcBorders/>
            <w:vAlign w:val="center"/>
          </w:tcPr>
          <w:p>
            <w:pPr>
              <w:pStyle w:val="TableContents"/>
              <w:bidi w:val="0"/>
              <w:spacing w:before="0" w:after="283"/>
              <w:jc w:val="left"/>
              <w:rPr/>
            </w:pPr>
            <w:r>
              <w:rPr/>
              <w:t> </w:t>
            </w:r>
          </w:p>
        </w:tc>
      </w:tr>
      <w:tr>
        <w:trPr/>
        <w:tc>
          <w:tcPr>
            <w:tcW w:w="377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91" w:type="dxa"/>
            <w:gridSpan w:val="2"/>
            <w:tcBorders>
              <w:bottom w:val="single" w:sz="8" w:space="0" w:color="000000"/>
            </w:tcBorders>
            <w:tcMar>
              <w:bottom w:w="28" w:type="dxa"/>
            </w:tcMar>
            <w:vAlign w:val="center"/>
          </w:tcPr>
          <w:p>
            <w:pPr>
              <w:pStyle w:val="TableContents"/>
              <w:bidi w:val="0"/>
              <w:spacing w:before="0" w:after="283"/>
              <w:jc w:val="center"/>
              <w:rPr>
                <w:b/>
              </w:rPr>
            </w:pPr>
            <w:r>
              <w:rPr>
                <w:b/>
              </w:rPr>
              <w:t>(000’s)</w:t>
            </w:r>
          </w:p>
        </w:tc>
        <w:tc>
          <w:tcPr>
            <w:tcW w:w="158" w:type="dxa"/>
            <w:tcBorders/>
            <w:vAlign w:val="center"/>
          </w:tcPr>
          <w:p>
            <w:pPr>
              <w:pStyle w:val="TableContents"/>
              <w:bidi w:val="0"/>
              <w:spacing w:before="0" w:after="283"/>
              <w:jc w:val="left"/>
              <w:rPr/>
            </w:pPr>
            <w:r>
              <w:rPr/>
              <w:t> </w:t>
            </w:r>
          </w:p>
        </w:tc>
        <w:tc>
          <w:tcPr>
            <w:tcW w:w="99" w:type="dxa"/>
            <w:tcBorders/>
            <w:vAlign w:val="center"/>
          </w:tcPr>
          <w:p>
            <w:pPr>
              <w:pStyle w:val="TableContents"/>
              <w:bidi w:val="0"/>
              <w:spacing w:before="0" w:after="283"/>
              <w:jc w:val="left"/>
              <w:rPr/>
            </w:pPr>
            <w:r>
              <w:rPr/>
              <w:t> </w:t>
            </w:r>
          </w:p>
        </w:tc>
        <w:tc>
          <w:tcPr>
            <w:tcW w:w="1292" w:type="dxa"/>
            <w:gridSpan w:val="2"/>
            <w:tcBorders>
              <w:bottom w:val="single" w:sz="8" w:space="0" w:color="000000"/>
            </w:tcBorders>
            <w:tcMar>
              <w:bottom w:w="28" w:type="dxa"/>
            </w:tcMar>
            <w:vAlign w:val="center"/>
          </w:tcPr>
          <w:p>
            <w:pPr>
              <w:pStyle w:val="TableContents"/>
              <w:bidi w:val="0"/>
              <w:spacing w:before="0" w:after="283"/>
              <w:jc w:val="center"/>
              <w:rPr>
                <w:b/>
              </w:rPr>
            </w:pPr>
            <w:r>
              <w:rPr>
                <w:b/>
              </w:rPr>
              <w:t>(000’s)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7" w:type="dxa"/>
            <w:gridSpan w:val="2"/>
            <w:tcBorders>
              <w:bottom w:val="single" w:sz="8" w:space="0" w:color="000000"/>
            </w:tcBorders>
            <w:tcMar>
              <w:bottom w:w="28" w:type="dxa"/>
            </w:tcMar>
            <w:vAlign w:val="center"/>
          </w:tcPr>
          <w:p>
            <w:pPr>
              <w:pStyle w:val="TableContents"/>
              <w:bidi w:val="0"/>
              <w:spacing w:before="0" w:after="283"/>
              <w:jc w:val="center"/>
              <w:rPr>
                <w:b/>
              </w:rPr>
            </w:pPr>
            <w:r>
              <w:rPr>
                <w:b/>
              </w:rPr>
              <w:t>(000’s)</w:t>
            </w:r>
          </w:p>
        </w:tc>
        <w:tc>
          <w:tcPr>
            <w:tcW w:w="149"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1407" w:type="dxa"/>
            <w:gridSpan w:val="2"/>
            <w:tcBorders>
              <w:bottom w:val="single" w:sz="8" w:space="0" w:color="000000"/>
            </w:tcBorders>
            <w:tcMar>
              <w:bottom w:w="28" w:type="dxa"/>
            </w:tcMar>
            <w:vAlign w:val="center"/>
          </w:tcPr>
          <w:p>
            <w:pPr>
              <w:pStyle w:val="TableContents"/>
              <w:bidi w:val="0"/>
              <w:spacing w:before="0" w:after="283"/>
              <w:jc w:val="center"/>
              <w:rPr>
                <w:b/>
              </w:rPr>
            </w:pPr>
            <w:r>
              <w:rPr>
                <w:b/>
              </w:rPr>
              <w:t>(000’s)</w:t>
            </w:r>
          </w:p>
        </w:tc>
        <w:tc>
          <w:tcPr>
            <w:tcW w:w="117" w:type="dxa"/>
            <w:tcBorders/>
            <w:vAlign w:val="center"/>
          </w:tcPr>
          <w:p>
            <w:pPr>
              <w:pStyle w:val="TableContents"/>
              <w:bidi w:val="0"/>
              <w:spacing w:before="0" w:after="283"/>
              <w:jc w:val="left"/>
              <w:rPr/>
            </w:pPr>
            <w:r>
              <w:rPr/>
              <w:t> </w:t>
            </w:r>
          </w:p>
        </w:tc>
      </w:tr>
      <w:tr>
        <w:trPr/>
        <w:tc>
          <w:tcPr>
            <w:tcW w:w="377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91" w:type="dxa"/>
            <w:gridSpan w:val="2"/>
            <w:tcBorders/>
            <w:vAlign w:val="center"/>
          </w:tcPr>
          <w:p>
            <w:pPr>
              <w:pStyle w:val="TableContents"/>
              <w:bidi w:val="0"/>
              <w:spacing w:before="0" w:after="283"/>
              <w:jc w:val="right"/>
              <w:rPr/>
            </w:pPr>
            <w:r>
              <w:rPr/>
              <w:t> </w:t>
            </w:r>
          </w:p>
        </w:tc>
        <w:tc>
          <w:tcPr>
            <w:tcW w:w="158" w:type="dxa"/>
            <w:tcBorders/>
            <w:vAlign w:val="center"/>
          </w:tcPr>
          <w:p>
            <w:pPr>
              <w:pStyle w:val="TableContents"/>
              <w:bidi w:val="0"/>
              <w:spacing w:before="0" w:after="283"/>
              <w:jc w:val="left"/>
              <w:rPr/>
            </w:pPr>
            <w:r>
              <w:rPr/>
              <w:t> </w:t>
            </w:r>
          </w:p>
        </w:tc>
        <w:tc>
          <w:tcPr>
            <w:tcW w:w="99" w:type="dxa"/>
            <w:tcBorders/>
            <w:vAlign w:val="center"/>
          </w:tcPr>
          <w:p>
            <w:pPr>
              <w:pStyle w:val="TableContents"/>
              <w:bidi w:val="0"/>
              <w:spacing w:before="0" w:after="283"/>
              <w:jc w:val="left"/>
              <w:rPr/>
            </w:pPr>
            <w:r>
              <w:rPr/>
              <w:t> </w:t>
            </w:r>
          </w:p>
        </w:tc>
        <w:tc>
          <w:tcPr>
            <w:tcW w:w="1292"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7" w:type="dxa"/>
            <w:gridSpan w:val="2"/>
            <w:tcBorders/>
            <w:vAlign w:val="center"/>
          </w:tcPr>
          <w:p>
            <w:pPr>
              <w:pStyle w:val="TableContents"/>
              <w:bidi w:val="0"/>
              <w:spacing w:before="0" w:after="283"/>
              <w:jc w:val="right"/>
              <w:rPr/>
            </w:pPr>
            <w:r>
              <w:rPr/>
              <w:t> </w:t>
            </w:r>
          </w:p>
        </w:tc>
        <w:tc>
          <w:tcPr>
            <w:tcW w:w="149"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1407" w:type="dxa"/>
            <w:gridSpan w:val="2"/>
            <w:tcBorders/>
            <w:vAlign w:val="center"/>
          </w:tcPr>
          <w:p>
            <w:pPr>
              <w:pStyle w:val="TableContents"/>
              <w:bidi w:val="0"/>
              <w:spacing w:before="0" w:after="283"/>
              <w:jc w:val="right"/>
              <w:rPr/>
            </w:pPr>
            <w:r>
              <w:rPr/>
              <w:t> </w:t>
            </w:r>
          </w:p>
        </w:tc>
        <w:tc>
          <w:tcPr>
            <w:tcW w:w="117" w:type="dxa"/>
            <w:tcBorders/>
            <w:vAlign w:val="center"/>
          </w:tcPr>
          <w:p>
            <w:pPr>
              <w:pStyle w:val="TableContents"/>
              <w:bidi w:val="0"/>
              <w:spacing w:before="0" w:after="283"/>
              <w:jc w:val="left"/>
              <w:rPr/>
            </w:pPr>
            <w:r>
              <w:rPr/>
              <w:t> </w:t>
            </w:r>
            <w:bookmarkStart w:id="1178" w:name="xdx_409_eus-gaap--RevenueFromContractWit"/>
            <w:bookmarkEnd w:id="1178"/>
          </w:p>
        </w:tc>
      </w:tr>
      <w:tr>
        <w:trPr/>
        <w:tc>
          <w:tcPr>
            <w:tcW w:w="3776" w:type="dxa"/>
            <w:tcBorders/>
            <w:shd w:fill="CCEEFF" w:val="clear"/>
            <w:vAlign w:val="center"/>
          </w:tcPr>
          <w:p>
            <w:pPr>
              <w:pStyle w:val="TableContents"/>
              <w:bidi w:val="0"/>
              <w:spacing w:before="0" w:after="283"/>
              <w:jc w:val="left"/>
              <w:rPr/>
            </w:pPr>
            <w:r>
              <w:rPr/>
              <w:t>Revenues</w:t>
            </w:r>
          </w:p>
        </w:tc>
        <w:tc>
          <w:tcPr>
            <w:tcW w:w="60" w:type="dxa"/>
            <w:tcBorders/>
            <w:shd w:fill="CCEEFF" w:val="clear"/>
            <w:vAlign w:val="center"/>
          </w:tcPr>
          <w:p>
            <w:pPr>
              <w:pStyle w:val="TableContents"/>
              <w:bidi w:val="0"/>
              <w:spacing w:before="0" w:after="283"/>
              <w:jc w:val="left"/>
              <w:rPr/>
            </w:pPr>
            <w:r>
              <w:rPr/>
              <w:t> </w:t>
            </w:r>
          </w:p>
        </w:tc>
        <w:tc>
          <w:tcPr>
            <w:tcW w:w="233" w:type="dxa"/>
            <w:tcBorders/>
            <w:shd w:fill="CCEEFF" w:val="clear"/>
            <w:vAlign w:val="center"/>
          </w:tcPr>
          <w:p>
            <w:pPr>
              <w:pStyle w:val="TableContents"/>
              <w:bidi w:val="0"/>
              <w:spacing w:before="0" w:after="283"/>
              <w:jc w:val="left"/>
              <w:rPr/>
            </w:pPr>
            <w:r>
              <w:rPr/>
              <w:t>$</w:t>
            </w:r>
          </w:p>
        </w:tc>
        <w:tc>
          <w:tcPr>
            <w:tcW w:w="1258" w:type="dxa"/>
            <w:tcBorders/>
            <w:shd w:fill="CCEEFF" w:val="clear"/>
            <w:vAlign w:val="center"/>
          </w:tcPr>
          <w:p>
            <w:pPr>
              <w:pStyle w:val="TableContents"/>
              <w:bidi w:val="0"/>
              <w:spacing w:before="0" w:after="283"/>
              <w:jc w:val="right"/>
              <w:rPr/>
            </w:pPr>
            <w:r>
              <w:rPr/>
              <w:t>-</w:t>
            </w:r>
          </w:p>
        </w:tc>
        <w:tc>
          <w:tcPr>
            <w:tcW w:w="158"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233" w:type="dxa"/>
            <w:tcBorders/>
            <w:shd w:fill="CCEEFF" w:val="clear"/>
            <w:vAlign w:val="center"/>
          </w:tcPr>
          <w:p>
            <w:pPr>
              <w:pStyle w:val="TableContents"/>
              <w:bidi w:val="0"/>
              <w:spacing w:before="0" w:after="283"/>
              <w:jc w:val="left"/>
              <w:rPr/>
            </w:pPr>
            <w:r>
              <w:rPr/>
              <w:t>$</w:t>
            </w:r>
          </w:p>
        </w:tc>
        <w:tc>
          <w:tcPr>
            <w:tcW w:w="1059"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9" w:type="dxa"/>
            <w:tcBorders/>
            <w:shd w:fill="CCEEFF" w:val="clear"/>
            <w:vAlign w:val="center"/>
          </w:tcPr>
          <w:p>
            <w:pPr>
              <w:pStyle w:val="TableContents"/>
              <w:bidi w:val="0"/>
              <w:spacing w:before="0" w:after="283"/>
              <w:jc w:val="left"/>
              <w:rPr/>
            </w:pPr>
            <w:r>
              <w:rPr/>
              <w:t>$</w:t>
            </w:r>
          </w:p>
        </w:tc>
        <w:tc>
          <w:tcPr>
            <w:tcW w:w="1188" w:type="dxa"/>
            <w:tcBorders/>
            <w:shd w:fill="CCEEFF" w:val="clear"/>
            <w:vAlign w:val="center"/>
          </w:tcPr>
          <w:p>
            <w:pPr>
              <w:pStyle w:val="TableContents"/>
              <w:bidi w:val="0"/>
              <w:spacing w:before="0" w:after="283"/>
              <w:jc w:val="right"/>
              <w:rPr/>
            </w:pPr>
            <w:r>
              <w:rPr/>
              <w:t>-</w:t>
            </w:r>
          </w:p>
        </w:tc>
        <w:tc>
          <w:tcPr>
            <w:tcW w:w="149"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219" w:type="dxa"/>
            <w:tcBorders/>
            <w:shd w:fill="CCEEFF" w:val="clear"/>
            <w:vAlign w:val="center"/>
          </w:tcPr>
          <w:p>
            <w:pPr>
              <w:pStyle w:val="TableContents"/>
              <w:bidi w:val="0"/>
              <w:spacing w:before="0" w:after="283"/>
              <w:jc w:val="left"/>
              <w:rPr/>
            </w:pPr>
            <w:r>
              <w:rPr/>
              <w:t>$</w:t>
            </w:r>
          </w:p>
        </w:tc>
        <w:tc>
          <w:tcPr>
            <w:tcW w:w="1188" w:type="dxa"/>
            <w:tcBorders/>
            <w:shd w:fill="CCEEFF" w:val="clear"/>
            <w:vAlign w:val="center"/>
          </w:tcPr>
          <w:p>
            <w:pPr>
              <w:pStyle w:val="TableContents"/>
              <w:bidi w:val="0"/>
              <w:spacing w:before="0" w:after="283"/>
              <w:jc w:val="right"/>
              <w:rPr/>
            </w:pPr>
            <w:r>
              <w:rPr/>
              <w:t>27</w:t>
            </w:r>
          </w:p>
        </w:tc>
        <w:tc>
          <w:tcPr>
            <w:tcW w:w="117" w:type="dxa"/>
            <w:tcBorders/>
            <w:shd w:fill="CCEEFF" w:val="clear"/>
            <w:vAlign w:val="center"/>
          </w:tcPr>
          <w:p>
            <w:pPr>
              <w:pStyle w:val="TableContents"/>
              <w:bidi w:val="0"/>
              <w:spacing w:before="0" w:after="283"/>
              <w:jc w:val="left"/>
              <w:rPr/>
            </w:pPr>
            <w:r>
              <w:rPr/>
              <w:t> </w:t>
            </w:r>
          </w:p>
        </w:tc>
      </w:tr>
      <w:tr>
        <w:trPr/>
        <w:tc>
          <w:tcPr>
            <w:tcW w:w="3776" w:type="dxa"/>
            <w:tcBorders/>
            <w:shd w:fill="FFFFFF" w:val="clear"/>
            <w:vAlign w:val="center"/>
          </w:tcPr>
          <w:p>
            <w:pPr>
              <w:pStyle w:val="TableContents"/>
              <w:bidi w:val="0"/>
              <w:spacing w:before="0" w:after="283"/>
              <w:jc w:val="left"/>
              <w:rPr/>
            </w:pPr>
            <w:r>
              <w:rPr/>
              <w:t>Less Segment expenses:</w:t>
            </w:r>
          </w:p>
        </w:tc>
        <w:tc>
          <w:tcPr>
            <w:tcW w:w="60" w:type="dxa"/>
            <w:tcBorders/>
            <w:shd w:fill="FFFFFF" w:val="clear"/>
            <w:vAlign w:val="center"/>
          </w:tcPr>
          <w:p>
            <w:pPr>
              <w:pStyle w:val="TableContents"/>
              <w:bidi w:val="0"/>
              <w:spacing w:before="0" w:after="283"/>
              <w:jc w:val="left"/>
              <w:rPr/>
            </w:pPr>
            <w:r>
              <w:rPr/>
              <w:t> </w:t>
            </w:r>
          </w:p>
        </w:tc>
        <w:tc>
          <w:tcPr>
            <w:tcW w:w="233" w:type="dxa"/>
            <w:tcBorders/>
            <w:shd w:fill="FFFFFF" w:val="clear"/>
            <w:vAlign w:val="center"/>
          </w:tcPr>
          <w:p>
            <w:pPr>
              <w:pStyle w:val="TableContents"/>
              <w:bidi w:val="0"/>
              <w:spacing w:before="0" w:after="283"/>
              <w:jc w:val="left"/>
              <w:rPr/>
            </w:pPr>
            <w:r>
              <w:rPr/>
              <w:t> </w:t>
            </w:r>
          </w:p>
        </w:tc>
        <w:tc>
          <w:tcPr>
            <w:tcW w:w="1258" w:type="dxa"/>
            <w:tcBorders/>
            <w:shd w:fill="FFFFFF" w:val="clear"/>
            <w:vAlign w:val="center"/>
          </w:tcPr>
          <w:p>
            <w:pPr>
              <w:pStyle w:val="TableContents"/>
              <w:bidi w:val="0"/>
              <w:spacing w:before="0" w:after="283"/>
              <w:jc w:val="right"/>
              <w:rPr/>
            </w:pPr>
            <w:r>
              <w:rPr/>
              <w:t> </w:t>
            </w:r>
          </w:p>
        </w:tc>
        <w:tc>
          <w:tcPr>
            <w:tcW w:w="158" w:type="dxa"/>
            <w:tcBorders/>
            <w:shd w:fill="FFFFFF" w:val="clear"/>
            <w:vAlign w:val="center"/>
          </w:tcPr>
          <w:p>
            <w:pPr>
              <w:pStyle w:val="TableContents"/>
              <w:bidi w:val="0"/>
              <w:spacing w:before="0" w:after="283"/>
              <w:jc w:val="left"/>
              <w:rPr/>
            </w:pPr>
            <w:r>
              <w:rPr/>
              <w:t> </w:t>
            </w:r>
          </w:p>
        </w:tc>
        <w:tc>
          <w:tcPr>
            <w:tcW w:w="99" w:type="dxa"/>
            <w:tcBorders/>
            <w:shd w:fill="FFFFFF" w:val="clear"/>
            <w:vAlign w:val="center"/>
          </w:tcPr>
          <w:p>
            <w:pPr>
              <w:pStyle w:val="TableContents"/>
              <w:bidi w:val="0"/>
              <w:spacing w:before="0" w:after="283"/>
              <w:jc w:val="left"/>
              <w:rPr/>
            </w:pPr>
            <w:r>
              <w:rPr/>
              <w:t> </w:t>
            </w:r>
          </w:p>
        </w:tc>
        <w:tc>
          <w:tcPr>
            <w:tcW w:w="233" w:type="dxa"/>
            <w:tcBorders/>
            <w:shd w:fill="FFFFFF" w:val="clear"/>
            <w:vAlign w:val="center"/>
          </w:tcPr>
          <w:p>
            <w:pPr>
              <w:pStyle w:val="TableContents"/>
              <w:bidi w:val="0"/>
              <w:spacing w:before="0" w:after="283"/>
              <w:jc w:val="left"/>
              <w:rPr/>
            </w:pPr>
            <w:r>
              <w:rPr/>
              <w:t> </w:t>
            </w:r>
          </w:p>
        </w:tc>
        <w:tc>
          <w:tcPr>
            <w:tcW w:w="1059"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9" w:type="dxa"/>
            <w:tcBorders/>
            <w:shd w:fill="FFFFFF" w:val="clear"/>
            <w:vAlign w:val="center"/>
          </w:tcPr>
          <w:p>
            <w:pPr>
              <w:pStyle w:val="TableContents"/>
              <w:bidi w:val="0"/>
              <w:spacing w:before="0" w:after="283"/>
              <w:jc w:val="left"/>
              <w:rPr/>
            </w:pPr>
            <w:r>
              <w:rPr/>
              <w:t> </w:t>
            </w:r>
          </w:p>
        </w:tc>
        <w:tc>
          <w:tcPr>
            <w:tcW w:w="1188" w:type="dxa"/>
            <w:tcBorders/>
            <w:shd w:fill="FFFFFF" w:val="clear"/>
            <w:vAlign w:val="center"/>
          </w:tcPr>
          <w:p>
            <w:pPr>
              <w:pStyle w:val="TableContents"/>
              <w:bidi w:val="0"/>
              <w:spacing w:before="0" w:after="283"/>
              <w:jc w:val="right"/>
              <w:rPr/>
            </w:pPr>
            <w:r>
              <w:rPr/>
              <w:t> </w:t>
            </w:r>
          </w:p>
        </w:tc>
        <w:tc>
          <w:tcPr>
            <w:tcW w:w="149" w:type="dxa"/>
            <w:tcBorders/>
            <w:shd w:fill="FFFFFF" w:val="clear"/>
            <w:vAlign w:val="center"/>
          </w:tcPr>
          <w:p>
            <w:pPr>
              <w:pStyle w:val="TableContents"/>
              <w:bidi w:val="0"/>
              <w:spacing w:before="0" w:after="283"/>
              <w:jc w:val="left"/>
              <w:rPr/>
            </w:pPr>
            <w:r>
              <w:rPr/>
              <w:t> </w:t>
            </w:r>
          </w:p>
        </w:tc>
        <w:tc>
          <w:tcPr>
            <w:tcW w:w="94" w:type="dxa"/>
            <w:tcBorders/>
            <w:shd w:fill="FFFFFF" w:val="clear"/>
            <w:vAlign w:val="center"/>
          </w:tcPr>
          <w:p>
            <w:pPr>
              <w:pStyle w:val="TableContents"/>
              <w:bidi w:val="0"/>
              <w:spacing w:before="0" w:after="283"/>
              <w:jc w:val="left"/>
              <w:rPr/>
            </w:pPr>
            <w:r>
              <w:rPr/>
              <w:t> </w:t>
            </w:r>
          </w:p>
        </w:tc>
        <w:tc>
          <w:tcPr>
            <w:tcW w:w="219" w:type="dxa"/>
            <w:tcBorders/>
            <w:shd w:fill="FFFFFF" w:val="clear"/>
            <w:vAlign w:val="center"/>
          </w:tcPr>
          <w:p>
            <w:pPr>
              <w:pStyle w:val="TableContents"/>
              <w:bidi w:val="0"/>
              <w:spacing w:before="0" w:after="283"/>
              <w:jc w:val="left"/>
              <w:rPr/>
            </w:pPr>
            <w:r>
              <w:rPr/>
              <w:t> </w:t>
            </w:r>
          </w:p>
        </w:tc>
        <w:tc>
          <w:tcPr>
            <w:tcW w:w="1188" w:type="dxa"/>
            <w:tcBorders/>
            <w:shd w:fill="FFFFFF" w:val="clear"/>
            <w:vAlign w:val="center"/>
          </w:tcPr>
          <w:p>
            <w:pPr>
              <w:pStyle w:val="TableContents"/>
              <w:bidi w:val="0"/>
              <w:spacing w:before="0" w:after="283"/>
              <w:jc w:val="right"/>
              <w:rPr/>
            </w:pPr>
            <w:r>
              <w:rPr/>
              <w:t> </w:t>
            </w:r>
          </w:p>
        </w:tc>
        <w:tc>
          <w:tcPr>
            <w:tcW w:w="117" w:type="dxa"/>
            <w:tcBorders/>
            <w:shd w:fill="FFFFFF" w:val="clear"/>
            <w:vAlign w:val="center"/>
          </w:tcPr>
          <w:p>
            <w:pPr>
              <w:pStyle w:val="TableContents"/>
              <w:bidi w:val="0"/>
              <w:spacing w:before="0" w:after="283"/>
              <w:jc w:val="left"/>
              <w:rPr/>
            </w:pPr>
            <w:r>
              <w:rPr/>
              <w:t> </w:t>
            </w:r>
            <w:bookmarkStart w:id="1179" w:name="xdx_409_eus-gaap--ResearchAndDevelopment"/>
            <w:bookmarkEnd w:id="1179"/>
          </w:p>
        </w:tc>
      </w:tr>
      <w:tr>
        <w:trPr/>
        <w:tc>
          <w:tcPr>
            <w:tcW w:w="3776" w:type="dxa"/>
            <w:tcBorders/>
            <w:shd w:fill="CCEEFF" w:val="clear"/>
            <w:vAlign w:val="center"/>
          </w:tcPr>
          <w:p>
            <w:pPr>
              <w:pStyle w:val="TableContents"/>
              <w:bidi w:val="0"/>
              <w:spacing w:before="0" w:after="283"/>
              <w:jc w:val="left"/>
              <w:rPr/>
            </w:pPr>
            <w:r>
              <w:rPr/>
              <w:t>Research and development</w:t>
            </w:r>
          </w:p>
        </w:tc>
        <w:tc>
          <w:tcPr>
            <w:tcW w:w="60" w:type="dxa"/>
            <w:tcBorders/>
            <w:shd w:fill="CCEEFF" w:val="clear"/>
            <w:vAlign w:val="center"/>
          </w:tcPr>
          <w:p>
            <w:pPr>
              <w:pStyle w:val="TableContents"/>
              <w:bidi w:val="0"/>
              <w:spacing w:before="0" w:after="283"/>
              <w:jc w:val="left"/>
              <w:rPr/>
            </w:pPr>
            <w:r>
              <w:rPr/>
              <w:t> </w:t>
            </w:r>
          </w:p>
        </w:tc>
        <w:tc>
          <w:tcPr>
            <w:tcW w:w="233" w:type="dxa"/>
            <w:tcBorders/>
            <w:shd w:fill="CCEEFF" w:val="clear"/>
            <w:vAlign w:val="center"/>
          </w:tcPr>
          <w:p>
            <w:pPr>
              <w:pStyle w:val="TableContents"/>
              <w:bidi w:val="0"/>
              <w:spacing w:before="0" w:after="283"/>
              <w:jc w:val="left"/>
              <w:rPr/>
            </w:pPr>
            <w:r>
              <w:rPr/>
              <w:t> </w:t>
            </w:r>
          </w:p>
        </w:tc>
        <w:tc>
          <w:tcPr>
            <w:tcW w:w="1258" w:type="dxa"/>
            <w:tcBorders/>
            <w:shd w:fill="CCEEFF" w:val="clear"/>
            <w:vAlign w:val="center"/>
          </w:tcPr>
          <w:p>
            <w:pPr>
              <w:pStyle w:val="TableContents"/>
              <w:bidi w:val="0"/>
              <w:spacing w:before="0" w:after="283"/>
              <w:jc w:val="right"/>
              <w:rPr/>
            </w:pPr>
            <w:r>
              <w:rPr/>
              <w:t>6</w:t>
            </w:r>
          </w:p>
        </w:tc>
        <w:tc>
          <w:tcPr>
            <w:tcW w:w="158"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233" w:type="dxa"/>
            <w:tcBorders/>
            <w:shd w:fill="CCEEFF" w:val="clear"/>
            <w:vAlign w:val="center"/>
          </w:tcPr>
          <w:p>
            <w:pPr>
              <w:pStyle w:val="TableContents"/>
              <w:bidi w:val="0"/>
              <w:spacing w:before="0" w:after="283"/>
              <w:jc w:val="left"/>
              <w:rPr/>
            </w:pPr>
            <w:r>
              <w:rPr/>
              <w:t> </w:t>
            </w:r>
          </w:p>
        </w:tc>
        <w:tc>
          <w:tcPr>
            <w:tcW w:w="1059" w:type="dxa"/>
            <w:tcBorders/>
            <w:shd w:fill="CCEEFF" w:val="clear"/>
            <w:vAlign w:val="center"/>
          </w:tcPr>
          <w:p>
            <w:pPr>
              <w:pStyle w:val="TableContents"/>
              <w:bidi w:val="0"/>
              <w:spacing w:before="0" w:after="283"/>
              <w:jc w:val="right"/>
              <w:rPr/>
            </w:pPr>
            <w:r>
              <w:rPr/>
              <w:t>23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9" w:type="dxa"/>
            <w:tcBorders/>
            <w:shd w:fill="CCEEFF" w:val="clear"/>
            <w:vAlign w:val="center"/>
          </w:tcPr>
          <w:p>
            <w:pPr>
              <w:pStyle w:val="TableContents"/>
              <w:bidi w:val="0"/>
              <w:spacing w:before="0" w:after="283"/>
              <w:jc w:val="left"/>
              <w:rPr/>
            </w:pPr>
            <w:r>
              <w:rPr/>
              <w:t> </w:t>
            </w:r>
          </w:p>
        </w:tc>
        <w:tc>
          <w:tcPr>
            <w:tcW w:w="1188" w:type="dxa"/>
            <w:tcBorders/>
            <w:shd w:fill="CCEEFF" w:val="clear"/>
            <w:vAlign w:val="center"/>
          </w:tcPr>
          <w:p>
            <w:pPr>
              <w:pStyle w:val="TableContents"/>
              <w:bidi w:val="0"/>
              <w:spacing w:before="0" w:after="283"/>
              <w:jc w:val="right"/>
              <w:rPr/>
            </w:pPr>
            <w:r>
              <w:rPr/>
              <w:t>31</w:t>
            </w:r>
          </w:p>
        </w:tc>
        <w:tc>
          <w:tcPr>
            <w:tcW w:w="149"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219" w:type="dxa"/>
            <w:tcBorders/>
            <w:shd w:fill="CCEEFF" w:val="clear"/>
            <w:vAlign w:val="center"/>
          </w:tcPr>
          <w:p>
            <w:pPr>
              <w:pStyle w:val="TableContents"/>
              <w:bidi w:val="0"/>
              <w:spacing w:before="0" w:after="283"/>
              <w:jc w:val="left"/>
              <w:rPr/>
            </w:pPr>
            <w:r>
              <w:rPr/>
              <w:t> </w:t>
            </w:r>
          </w:p>
        </w:tc>
        <w:tc>
          <w:tcPr>
            <w:tcW w:w="1188" w:type="dxa"/>
            <w:tcBorders/>
            <w:shd w:fill="CCEEFF" w:val="clear"/>
            <w:vAlign w:val="center"/>
          </w:tcPr>
          <w:p>
            <w:pPr>
              <w:pStyle w:val="TableContents"/>
              <w:bidi w:val="0"/>
              <w:spacing w:before="0" w:after="283"/>
              <w:jc w:val="right"/>
              <w:rPr/>
            </w:pPr>
            <w:r>
              <w:rPr/>
              <w:t>661</w:t>
            </w:r>
          </w:p>
        </w:tc>
        <w:tc>
          <w:tcPr>
            <w:tcW w:w="117" w:type="dxa"/>
            <w:tcBorders/>
            <w:shd w:fill="CCEEFF" w:val="clear"/>
            <w:vAlign w:val="center"/>
          </w:tcPr>
          <w:p>
            <w:pPr>
              <w:pStyle w:val="TableContents"/>
              <w:bidi w:val="0"/>
              <w:spacing w:before="0" w:after="283"/>
              <w:jc w:val="left"/>
              <w:rPr/>
            </w:pPr>
            <w:r>
              <w:rPr/>
              <w:t> </w:t>
            </w:r>
            <w:bookmarkStart w:id="1180" w:name="xdx_40C_ecustom--ResearchAndDevelopmentS"/>
            <w:bookmarkEnd w:id="1180"/>
          </w:p>
        </w:tc>
      </w:tr>
      <w:tr>
        <w:trPr/>
        <w:tc>
          <w:tcPr>
            <w:tcW w:w="3776" w:type="dxa"/>
            <w:tcBorders/>
            <w:shd w:fill="FFFFFF" w:val="clear"/>
            <w:vAlign w:val="center"/>
          </w:tcPr>
          <w:p>
            <w:pPr>
              <w:pStyle w:val="TableContents"/>
              <w:bidi w:val="0"/>
              <w:spacing w:before="0" w:after="283"/>
              <w:jc w:val="left"/>
              <w:rPr/>
            </w:pPr>
            <w:r>
              <w:rPr/>
              <w:t>Research and development - stock-based compensation expenses</w:t>
            </w:r>
          </w:p>
        </w:tc>
        <w:tc>
          <w:tcPr>
            <w:tcW w:w="60" w:type="dxa"/>
            <w:tcBorders/>
            <w:shd w:fill="FFFFFF" w:val="clear"/>
            <w:vAlign w:val="center"/>
          </w:tcPr>
          <w:p>
            <w:pPr>
              <w:pStyle w:val="TableContents"/>
              <w:bidi w:val="0"/>
              <w:spacing w:before="0" w:after="283"/>
              <w:jc w:val="left"/>
              <w:rPr/>
            </w:pPr>
            <w:r>
              <w:rPr/>
              <w:t> </w:t>
            </w:r>
          </w:p>
        </w:tc>
        <w:tc>
          <w:tcPr>
            <w:tcW w:w="233" w:type="dxa"/>
            <w:tcBorders/>
            <w:shd w:fill="FFFFFF" w:val="clear"/>
            <w:vAlign w:val="center"/>
          </w:tcPr>
          <w:p>
            <w:pPr>
              <w:pStyle w:val="TableContents"/>
              <w:bidi w:val="0"/>
              <w:spacing w:before="0" w:after="283"/>
              <w:jc w:val="left"/>
              <w:rPr/>
            </w:pPr>
            <w:r>
              <w:rPr/>
              <w:t> </w:t>
            </w:r>
          </w:p>
        </w:tc>
        <w:tc>
          <w:tcPr>
            <w:tcW w:w="1258" w:type="dxa"/>
            <w:tcBorders/>
            <w:shd w:fill="FFFFFF" w:val="clear"/>
            <w:vAlign w:val="center"/>
          </w:tcPr>
          <w:p>
            <w:pPr>
              <w:pStyle w:val="TableContents"/>
              <w:bidi w:val="0"/>
              <w:spacing w:before="0" w:after="283"/>
              <w:jc w:val="right"/>
              <w:rPr/>
            </w:pPr>
            <w:r>
              <w:rPr/>
              <w:t>-</w:t>
            </w:r>
          </w:p>
        </w:tc>
        <w:tc>
          <w:tcPr>
            <w:tcW w:w="158" w:type="dxa"/>
            <w:tcBorders/>
            <w:shd w:fill="FFFFFF" w:val="clear"/>
            <w:vAlign w:val="center"/>
          </w:tcPr>
          <w:p>
            <w:pPr>
              <w:pStyle w:val="TableContents"/>
              <w:bidi w:val="0"/>
              <w:spacing w:before="0" w:after="283"/>
              <w:jc w:val="left"/>
              <w:rPr/>
            </w:pPr>
            <w:r>
              <w:rPr/>
              <w:t> </w:t>
            </w:r>
          </w:p>
        </w:tc>
        <w:tc>
          <w:tcPr>
            <w:tcW w:w="99" w:type="dxa"/>
            <w:tcBorders/>
            <w:shd w:fill="FFFFFF" w:val="clear"/>
            <w:vAlign w:val="center"/>
          </w:tcPr>
          <w:p>
            <w:pPr>
              <w:pStyle w:val="TableContents"/>
              <w:bidi w:val="0"/>
              <w:spacing w:before="0" w:after="283"/>
              <w:jc w:val="left"/>
              <w:rPr/>
            </w:pPr>
            <w:r>
              <w:rPr/>
              <w:t> </w:t>
            </w:r>
          </w:p>
        </w:tc>
        <w:tc>
          <w:tcPr>
            <w:tcW w:w="233" w:type="dxa"/>
            <w:tcBorders/>
            <w:shd w:fill="FFFFFF" w:val="clear"/>
            <w:vAlign w:val="center"/>
          </w:tcPr>
          <w:p>
            <w:pPr>
              <w:pStyle w:val="TableContents"/>
              <w:bidi w:val="0"/>
              <w:spacing w:before="0" w:after="283"/>
              <w:jc w:val="left"/>
              <w:rPr/>
            </w:pPr>
            <w:r>
              <w:rPr/>
              <w:t> </w:t>
            </w:r>
          </w:p>
        </w:tc>
        <w:tc>
          <w:tcPr>
            <w:tcW w:w="1059" w:type="dxa"/>
            <w:tcBorders/>
            <w:shd w:fill="FFFFFF" w:val="clear"/>
            <w:vAlign w:val="center"/>
          </w:tcPr>
          <w:p>
            <w:pPr>
              <w:pStyle w:val="TableContents"/>
              <w:bidi w:val="0"/>
              <w:spacing w:before="0" w:after="283"/>
              <w:jc w:val="right"/>
              <w:rPr/>
            </w:pPr>
            <w:r>
              <w:rPr/>
              <w:t>133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9" w:type="dxa"/>
            <w:tcBorders/>
            <w:shd w:fill="FFFFFF" w:val="clear"/>
            <w:vAlign w:val="center"/>
          </w:tcPr>
          <w:p>
            <w:pPr>
              <w:pStyle w:val="TableContents"/>
              <w:bidi w:val="0"/>
              <w:spacing w:before="0" w:after="283"/>
              <w:jc w:val="left"/>
              <w:rPr/>
            </w:pPr>
            <w:r>
              <w:rPr/>
              <w:t> </w:t>
            </w:r>
          </w:p>
        </w:tc>
        <w:tc>
          <w:tcPr>
            <w:tcW w:w="1188" w:type="dxa"/>
            <w:tcBorders/>
            <w:shd w:fill="FFFFFF" w:val="clear"/>
            <w:vAlign w:val="center"/>
          </w:tcPr>
          <w:p>
            <w:pPr>
              <w:pStyle w:val="TableContents"/>
              <w:bidi w:val="0"/>
              <w:spacing w:before="0" w:after="283"/>
              <w:jc w:val="right"/>
              <w:rPr/>
            </w:pPr>
            <w:r>
              <w:rPr/>
              <w:t>-</w:t>
            </w:r>
          </w:p>
        </w:tc>
        <w:tc>
          <w:tcPr>
            <w:tcW w:w="149" w:type="dxa"/>
            <w:tcBorders/>
            <w:shd w:fill="FFFFFF" w:val="clear"/>
            <w:vAlign w:val="center"/>
          </w:tcPr>
          <w:p>
            <w:pPr>
              <w:pStyle w:val="TableContents"/>
              <w:bidi w:val="0"/>
              <w:spacing w:before="0" w:after="283"/>
              <w:jc w:val="left"/>
              <w:rPr/>
            </w:pPr>
            <w:r>
              <w:rPr/>
              <w:t> </w:t>
            </w:r>
          </w:p>
        </w:tc>
        <w:tc>
          <w:tcPr>
            <w:tcW w:w="94" w:type="dxa"/>
            <w:tcBorders/>
            <w:shd w:fill="FFFFFF" w:val="clear"/>
            <w:vAlign w:val="center"/>
          </w:tcPr>
          <w:p>
            <w:pPr>
              <w:pStyle w:val="TableContents"/>
              <w:bidi w:val="0"/>
              <w:spacing w:before="0" w:after="283"/>
              <w:jc w:val="left"/>
              <w:rPr/>
            </w:pPr>
            <w:r>
              <w:rPr/>
              <w:t> </w:t>
            </w:r>
          </w:p>
        </w:tc>
        <w:tc>
          <w:tcPr>
            <w:tcW w:w="219" w:type="dxa"/>
            <w:tcBorders/>
            <w:shd w:fill="FFFFFF" w:val="clear"/>
            <w:vAlign w:val="center"/>
          </w:tcPr>
          <w:p>
            <w:pPr>
              <w:pStyle w:val="TableContents"/>
              <w:bidi w:val="0"/>
              <w:spacing w:before="0" w:after="283"/>
              <w:jc w:val="left"/>
              <w:rPr/>
            </w:pPr>
            <w:r>
              <w:rPr/>
              <w:t> </w:t>
            </w:r>
          </w:p>
        </w:tc>
        <w:tc>
          <w:tcPr>
            <w:tcW w:w="1188" w:type="dxa"/>
            <w:tcBorders/>
            <w:shd w:fill="FFFFFF" w:val="clear"/>
            <w:vAlign w:val="center"/>
          </w:tcPr>
          <w:p>
            <w:pPr>
              <w:pStyle w:val="TableContents"/>
              <w:bidi w:val="0"/>
              <w:spacing w:before="0" w:after="283"/>
              <w:jc w:val="right"/>
              <w:rPr/>
            </w:pPr>
            <w:r>
              <w:rPr/>
              <w:t>75</w:t>
            </w:r>
          </w:p>
        </w:tc>
        <w:tc>
          <w:tcPr>
            <w:tcW w:w="117" w:type="dxa"/>
            <w:tcBorders/>
            <w:shd w:fill="FFFFFF" w:val="clear"/>
            <w:vAlign w:val="center"/>
          </w:tcPr>
          <w:p>
            <w:pPr>
              <w:pStyle w:val="TableContents"/>
              <w:bidi w:val="0"/>
              <w:spacing w:before="0" w:after="283"/>
              <w:jc w:val="left"/>
              <w:rPr/>
            </w:pPr>
            <w:r>
              <w:rPr/>
              <w:t> </w:t>
            </w:r>
            <w:bookmarkStart w:id="1181" w:name="xdx_401_eus-gaap--GeneralAndAdministrati"/>
            <w:bookmarkEnd w:id="1181"/>
          </w:p>
        </w:tc>
      </w:tr>
      <w:tr>
        <w:trPr/>
        <w:tc>
          <w:tcPr>
            <w:tcW w:w="3776" w:type="dxa"/>
            <w:tcBorders/>
            <w:shd w:fill="CCEEFF" w:val="clear"/>
            <w:vAlign w:val="center"/>
          </w:tcPr>
          <w:p>
            <w:pPr>
              <w:pStyle w:val="TableContents"/>
              <w:bidi w:val="0"/>
              <w:spacing w:before="0" w:after="283"/>
              <w:jc w:val="left"/>
              <w:rPr/>
            </w:pPr>
            <w:r>
              <w:rPr/>
              <w:t>General and administrative</w:t>
            </w:r>
          </w:p>
        </w:tc>
        <w:tc>
          <w:tcPr>
            <w:tcW w:w="60" w:type="dxa"/>
            <w:tcBorders/>
            <w:shd w:fill="CCEEFF" w:val="clear"/>
            <w:vAlign w:val="center"/>
          </w:tcPr>
          <w:p>
            <w:pPr>
              <w:pStyle w:val="TableContents"/>
              <w:bidi w:val="0"/>
              <w:spacing w:before="0" w:after="283"/>
              <w:jc w:val="left"/>
              <w:rPr/>
            </w:pPr>
            <w:r>
              <w:rPr/>
              <w:t> </w:t>
            </w:r>
          </w:p>
        </w:tc>
        <w:tc>
          <w:tcPr>
            <w:tcW w:w="233" w:type="dxa"/>
            <w:tcBorders/>
            <w:shd w:fill="CCEEFF" w:val="clear"/>
            <w:vAlign w:val="center"/>
          </w:tcPr>
          <w:p>
            <w:pPr>
              <w:pStyle w:val="TableContents"/>
              <w:bidi w:val="0"/>
              <w:spacing w:before="0" w:after="283"/>
              <w:jc w:val="left"/>
              <w:rPr/>
            </w:pPr>
            <w:r>
              <w:rPr/>
              <w:t> </w:t>
            </w:r>
          </w:p>
        </w:tc>
        <w:tc>
          <w:tcPr>
            <w:tcW w:w="1258" w:type="dxa"/>
            <w:tcBorders/>
            <w:shd w:fill="CCEEFF" w:val="clear"/>
            <w:vAlign w:val="center"/>
          </w:tcPr>
          <w:p>
            <w:pPr>
              <w:pStyle w:val="TableContents"/>
              <w:bidi w:val="0"/>
              <w:spacing w:before="0" w:after="283"/>
              <w:jc w:val="right"/>
              <w:rPr/>
            </w:pPr>
            <w:r>
              <w:rPr/>
              <w:t>3,747</w:t>
            </w:r>
          </w:p>
        </w:tc>
        <w:tc>
          <w:tcPr>
            <w:tcW w:w="158"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233" w:type="dxa"/>
            <w:tcBorders/>
            <w:shd w:fill="CCEEFF" w:val="clear"/>
            <w:vAlign w:val="center"/>
          </w:tcPr>
          <w:p>
            <w:pPr>
              <w:pStyle w:val="TableContents"/>
              <w:bidi w:val="0"/>
              <w:spacing w:before="0" w:after="283"/>
              <w:jc w:val="left"/>
              <w:rPr/>
            </w:pPr>
            <w:r>
              <w:rPr/>
              <w:t> </w:t>
            </w:r>
          </w:p>
        </w:tc>
        <w:tc>
          <w:tcPr>
            <w:tcW w:w="1059" w:type="dxa"/>
            <w:tcBorders/>
            <w:shd w:fill="CCEEFF" w:val="clear"/>
            <w:vAlign w:val="center"/>
          </w:tcPr>
          <w:p>
            <w:pPr>
              <w:pStyle w:val="TableContents"/>
              <w:bidi w:val="0"/>
              <w:spacing w:before="0" w:after="283"/>
              <w:jc w:val="right"/>
              <w:rPr/>
            </w:pPr>
            <w:r>
              <w:rPr/>
              <w:t>1,246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9" w:type="dxa"/>
            <w:tcBorders/>
            <w:shd w:fill="CCEEFF" w:val="clear"/>
            <w:vAlign w:val="center"/>
          </w:tcPr>
          <w:p>
            <w:pPr>
              <w:pStyle w:val="TableContents"/>
              <w:bidi w:val="0"/>
              <w:spacing w:before="0" w:after="283"/>
              <w:jc w:val="left"/>
              <w:rPr/>
            </w:pPr>
            <w:r>
              <w:rPr/>
              <w:t> </w:t>
            </w:r>
          </w:p>
        </w:tc>
        <w:tc>
          <w:tcPr>
            <w:tcW w:w="1188" w:type="dxa"/>
            <w:tcBorders/>
            <w:shd w:fill="CCEEFF" w:val="clear"/>
            <w:vAlign w:val="center"/>
          </w:tcPr>
          <w:p>
            <w:pPr>
              <w:pStyle w:val="TableContents"/>
              <w:bidi w:val="0"/>
              <w:spacing w:before="0" w:after="283"/>
              <w:jc w:val="right"/>
              <w:rPr/>
            </w:pPr>
            <w:r>
              <w:rPr/>
              <w:t>11,805</w:t>
            </w:r>
          </w:p>
        </w:tc>
        <w:tc>
          <w:tcPr>
            <w:tcW w:w="149"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219" w:type="dxa"/>
            <w:tcBorders/>
            <w:shd w:fill="CCEEFF" w:val="clear"/>
            <w:vAlign w:val="center"/>
          </w:tcPr>
          <w:p>
            <w:pPr>
              <w:pStyle w:val="TableContents"/>
              <w:bidi w:val="0"/>
              <w:spacing w:before="0" w:after="283"/>
              <w:jc w:val="left"/>
              <w:rPr/>
            </w:pPr>
            <w:r>
              <w:rPr/>
              <w:t> </w:t>
            </w:r>
          </w:p>
        </w:tc>
        <w:tc>
          <w:tcPr>
            <w:tcW w:w="1188" w:type="dxa"/>
            <w:tcBorders/>
            <w:shd w:fill="CCEEFF" w:val="clear"/>
            <w:vAlign w:val="center"/>
          </w:tcPr>
          <w:p>
            <w:pPr>
              <w:pStyle w:val="TableContents"/>
              <w:bidi w:val="0"/>
              <w:spacing w:before="0" w:after="283"/>
              <w:jc w:val="right"/>
              <w:rPr/>
            </w:pPr>
            <w:r>
              <w:rPr/>
              <w:t>3,624</w:t>
            </w:r>
          </w:p>
        </w:tc>
        <w:tc>
          <w:tcPr>
            <w:tcW w:w="117" w:type="dxa"/>
            <w:tcBorders/>
            <w:shd w:fill="CCEEFF" w:val="clear"/>
            <w:vAlign w:val="center"/>
          </w:tcPr>
          <w:p>
            <w:pPr>
              <w:pStyle w:val="TableContents"/>
              <w:bidi w:val="0"/>
              <w:spacing w:before="0" w:after="283"/>
              <w:jc w:val="left"/>
              <w:rPr/>
            </w:pPr>
            <w:r>
              <w:rPr/>
              <w:t> </w:t>
            </w:r>
            <w:bookmarkStart w:id="1182" w:name="xdx_409_ecustom--GeneralAndAdministrativ"/>
            <w:bookmarkEnd w:id="1182"/>
          </w:p>
        </w:tc>
      </w:tr>
      <w:tr>
        <w:trPr/>
        <w:tc>
          <w:tcPr>
            <w:tcW w:w="3776" w:type="dxa"/>
            <w:tcBorders/>
            <w:shd w:fill="FFFFFF" w:val="clear"/>
            <w:vAlign w:val="center"/>
          </w:tcPr>
          <w:p>
            <w:pPr>
              <w:pStyle w:val="TableContents"/>
              <w:bidi w:val="0"/>
              <w:spacing w:before="0" w:after="283"/>
              <w:jc w:val="left"/>
              <w:rPr/>
            </w:pPr>
            <w:r>
              <w:rPr/>
              <w:t>General and administrative - stock-based compensation expenses</w:t>
            </w:r>
          </w:p>
        </w:tc>
        <w:tc>
          <w:tcPr>
            <w:tcW w:w="60" w:type="dxa"/>
            <w:tcBorders/>
            <w:shd w:fill="FFFFFF" w:val="clear"/>
            <w:vAlign w:val="center"/>
          </w:tcPr>
          <w:p>
            <w:pPr>
              <w:pStyle w:val="TableContents"/>
              <w:bidi w:val="0"/>
              <w:spacing w:before="0" w:after="283"/>
              <w:jc w:val="left"/>
              <w:rPr/>
            </w:pPr>
            <w:r>
              <w:rPr/>
              <w:t> </w:t>
            </w:r>
          </w:p>
        </w:tc>
        <w:tc>
          <w:tcPr>
            <w:tcW w:w="233" w:type="dxa"/>
            <w:tcBorders/>
            <w:shd w:fill="FFFFFF" w:val="clear"/>
            <w:vAlign w:val="center"/>
          </w:tcPr>
          <w:p>
            <w:pPr>
              <w:pStyle w:val="TableContents"/>
              <w:bidi w:val="0"/>
              <w:spacing w:before="0" w:after="283"/>
              <w:jc w:val="left"/>
              <w:rPr/>
            </w:pPr>
            <w:r>
              <w:rPr/>
              <w:t> </w:t>
            </w:r>
          </w:p>
        </w:tc>
        <w:tc>
          <w:tcPr>
            <w:tcW w:w="1258" w:type="dxa"/>
            <w:tcBorders/>
            <w:shd w:fill="FFFFFF" w:val="clear"/>
            <w:vAlign w:val="center"/>
          </w:tcPr>
          <w:p>
            <w:pPr>
              <w:pStyle w:val="TableContents"/>
              <w:bidi w:val="0"/>
              <w:spacing w:before="0" w:after="283"/>
              <w:jc w:val="right"/>
              <w:rPr/>
            </w:pPr>
            <w:r>
              <w:rPr/>
              <w:t>872</w:t>
            </w:r>
          </w:p>
        </w:tc>
        <w:tc>
          <w:tcPr>
            <w:tcW w:w="158" w:type="dxa"/>
            <w:tcBorders/>
            <w:shd w:fill="FFFFFF" w:val="clear"/>
            <w:vAlign w:val="center"/>
          </w:tcPr>
          <w:p>
            <w:pPr>
              <w:pStyle w:val="TableContents"/>
              <w:bidi w:val="0"/>
              <w:spacing w:before="0" w:after="283"/>
              <w:jc w:val="left"/>
              <w:rPr/>
            </w:pPr>
            <w:r>
              <w:rPr/>
              <w:t> </w:t>
            </w:r>
          </w:p>
        </w:tc>
        <w:tc>
          <w:tcPr>
            <w:tcW w:w="99" w:type="dxa"/>
            <w:tcBorders/>
            <w:shd w:fill="FFFFFF" w:val="clear"/>
            <w:vAlign w:val="center"/>
          </w:tcPr>
          <w:p>
            <w:pPr>
              <w:pStyle w:val="TableContents"/>
              <w:bidi w:val="0"/>
              <w:spacing w:before="0" w:after="283"/>
              <w:jc w:val="left"/>
              <w:rPr/>
            </w:pPr>
            <w:r>
              <w:rPr/>
              <w:t> </w:t>
            </w:r>
          </w:p>
        </w:tc>
        <w:tc>
          <w:tcPr>
            <w:tcW w:w="233" w:type="dxa"/>
            <w:tcBorders/>
            <w:shd w:fill="FFFFFF" w:val="clear"/>
            <w:vAlign w:val="center"/>
          </w:tcPr>
          <w:p>
            <w:pPr>
              <w:pStyle w:val="TableContents"/>
              <w:bidi w:val="0"/>
              <w:spacing w:before="0" w:after="283"/>
              <w:jc w:val="left"/>
              <w:rPr/>
            </w:pPr>
            <w:r>
              <w:rPr/>
              <w:t> </w:t>
            </w:r>
          </w:p>
        </w:tc>
        <w:tc>
          <w:tcPr>
            <w:tcW w:w="1059" w:type="dxa"/>
            <w:tcBorders/>
            <w:shd w:fill="FFFFFF" w:val="clear"/>
            <w:vAlign w:val="center"/>
          </w:tcPr>
          <w:p>
            <w:pPr>
              <w:pStyle w:val="TableContents"/>
              <w:bidi w:val="0"/>
              <w:spacing w:before="0" w:after="283"/>
              <w:jc w:val="right"/>
              <w:rPr/>
            </w:pPr>
            <w:r>
              <w:rPr/>
              <w:t>1,517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9" w:type="dxa"/>
            <w:tcBorders/>
            <w:shd w:fill="FFFFFF" w:val="clear"/>
            <w:vAlign w:val="center"/>
          </w:tcPr>
          <w:p>
            <w:pPr>
              <w:pStyle w:val="TableContents"/>
              <w:bidi w:val="0"/>
              <w:spacing w:before="0" w:after="283"/>
              <w:jc w:val="left"/>
              <w:rPr/>
            </w:pPr>
            <w:r>
              <w:rPr/>
              <w:t> </w:t>
            </w:r>
          </w:p>
        </w:tc>
        <w:tc>
          <w:tcPr>
            <w:tcW w:w="1188" w:type="dxa"/>
            <w:tcBorders/>
            <w:shd w:fill="FFFFFF" w:val="clear"/>
            <w:vAlign w:val="center"/>
          </w:tcPr>
          <w:p>
            <w:pPr>
              <w:pStyle w:val="TableContents"/>
              <w:bidi w:val="0"/>
              <w:spacing w:before="0" w:after="283"/>
              <w:jc w:val="right"/>
              <w:rPr/>
            </w:pPr>
            <w:r>
              <w:rPr/>
              <w:t>15,560</w:t>
            </w:r>
          </w:p>
        </w:tc>
        <w:tc>
          <w:tcPr>
            <w:tcW w:w="149" w:type="dxa"/>
            <w:tcBorders/>
            <w:shd w:fill="FFFFFF" w:val="clear"/>
            <w:vAlign w:val="center"/>
          </w:tcPr>
          <w:p>
            <w:pPr>
              <w:pStyle w:val="TableContents"/>
              <w:bidi w:val="0"/>
              <w:spacing w:before="0" w:after="283"/>
              <w:jc w:val="left"/>
              <w:rPr/>
            </w:pPr>
            <w:r>
              <w:rPr/>
              <w:t> </w:t>
            </w:r>
          </w:p>
        </w:tc>
        <w:tc>
          <w:tcPr>
            <w:tcW w:w="94" w:type="dxa"/>
            <w:tcBorders/>
            <w:shd w:fill="FFFFFF" w:val="clear"/>
            <w:vAlign w:val="center"/>
          </w:tcPr>
          <w:p>
            <w:pPr>
              <w:pStyle w:val="TableContents"/>
              <w:bidi w:val="0"/>
              <w:spacing w:before="0" w:after="283"/>
              <w:jc w:val="left"/>
              <w:rPr/>
            </w:pPr>
            <w:r>
              <w:rPr/>
              <w:t> </w:t>
            </w:r>
          </w:p>
        </w:tc>
        <w:tc>
          <w:tcPr>
            <w:tcW w:w="219" w:type="dxa"/>
            <w:tcBorders/>
            <w:shd w:fill="FFFFFF" w:val="clear"/>
            <w:vAlign w:val="center"/>
          </w:tcPr>
          <w:p>
            <w:pPr>
              <w:pStyle w:val="TableContents"/>
              <w:bidi w:val="0"/>
              <w:spacing w:before="0" w:after="283"/>
              <w:jc w:val="left"/>
              <w:rPr/>
            </w:pPr>
            <w:r>
              <w:rPr/>
              <w:t> </w:t>
            </w:r>
          </w:p>
        </w:tc>
        <w:tc>
          <w:tcPr>
            <w:tcW w:w="1188" w:type="dxa"/>
            <w:tcBorders/>
            <w:shd w:fill="FFFFFF" w:val="clear"/>
            <w:vAlign w:val="center"/>
          </w:tcPr>
          <w:p>
            <w:pPr>
              <w:pStyle w:val="TableContents"/>
              <w:bidi w:val="0"/>
              <w:spacing w:before="0" w:after="283"/>
              <w:jc w:val="right"/>
              <w:rPr/>
            </w:pPr>
            <w:r>
              <w:rPr/>
              <w:t>6,935</w:t>
            </w:r>
          </w:p>
        </w:tc>
        <w:tc>
          <w:tcPr>
            <w:tcW w:w="117" w:type="dxa"/>
            <w:tcBorders/>
            <w:shd w:fill="FFFFFF" w:val="clear"/>
            <w:vAlign w:val="center"/>
          </w:tcPr>
          <w:p>
            <w:pPr>
              <w:pStyle w:val="TableContents"/>
              <w:bidi w:val="0"/>
              <w:spacing w:before="0" w:after="283"/>
              <w:jc w:val="left"/>
              <w:rPr/>
            </w:pPr>
            <w:r>
              <w:rPr/>
              <w:t> </w:t>
            </w:r>
            <w:bookmarkStart w:id="1183" w:name="xdx_402_eus-gaap--ImpairmentOfLongLivedA"/>
            <w:bookmarkEnd w:id="1183"/>
          </w:p>
        </w:tc>
      </w:tr>
      <w:tr>
        <w:trPr/>
        <w:tc>
          <w:tcPr>
            <w:tcW w:w="3776" w:type="dxa"/>
            <w:tcBorders/>
            <w:shd w:fill="CCEEFF" w:val="clear"/>
            <w:vAlign w:val="center"/>
          </w:tcPr>
          <w:p>
            <w:pPr>
              <w:pStyle w:val="TableContents"/>
              <w:bidi w:val="0"/>
              <w:spacing w:before="0" w:after="283"/>
              <w:jc w:val="left"/>
              <w:rPr/>
            </w:pPr>
            <w:r>
              <w:rPr/>
              <w:t>Impairment of long term assets</w:t>
            </w:r>
          </w:p>
        </w:tc>
        <w:tc>
          <w:tcPr>
            <w:tcW w:w="60" w:type="dxa"/>
            <w:tcBorders/>
            <w:shd w:fill="CCEEFF" w:val="clear"/>
            <w:vAlign w:val="center"/>
          </w:tcPr>
          <w:p>
            <w:pPr>
              <w:pStyle w:val="TableContents"/>
              <w:bidi w:val="0"/>
              <w:spacing w:before="0" w:after="283"/>
              <w:jc w:val="left"/>
              <w:rPr/>
            </w:pPr>
            <w:r>
              <w:rPr/>
              <w:t> </w:t>
            </w:r>
          </w:p>
        </w:tc>
        <w:tc>
          <w:tcPr>
            <w:tcW w:w="233" w:type="dxa"/>
            <w:tcBorders/>
            <w:shd w:fill="CCEEFF" w:val="clear"/>
            <w:vAlign w:val="center"/>
          </w:tcPr>
          <w:p>
            <w:pPr>
              <w:pStyle w:val="TableContents"/>
              <w:bidi w:val="0"/>
              <w:spacing w:before="0" w:after="283"/>
              <w:jc w:val="left"/>
              <w:rPr/>
            </w:pPr>
            <w:r>
              <w:rPr/>
              <w:t> </w:t>
            </w:r>
          </w:p>
        </w:tc>
        <w:tc>
          <w:tcPr>
            <w:tcW w:w="1258" w:type="dxa"/>
            <w:tcBorders/>
            <w:shd w:fill="CCEEFF" w:val="clear"/>
            <w:vAlign w:val="center"/>
          </w:tcPr>
          <w:p>
            <w:pPr>
              <w:pStyle w:val="TableContents"/>
              <w:bidi w:val="0"/>
              <w:spacing w:before="0" w:after="283"/>
              <w:jc w:val="right"/>
              <w:rPr/>
            </w:pPr>
            <w:r>
              <w:rPr/>
              <w:t>-</w:t>
            </w:r>
          </w:p>
        </w:tc>
        <w:tc>
          <w:tcPr>
            <w:tcW w:w="158"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233" w:type="dxa"/>
            <w:tcBorders/>
            <w:shd w:fill="CCEEFF" w:val="clear"/>
            <w:vAlign w:val="center"/>
          </w:tcPr>
          <w:p>
            <w:pPr>
              <w:pStyle w:val="TableContents"/>
              <w:bidi w:val="0"/>
              <w:spacing w:before="0" w:after="283"/>
              <w:jc w:val="left"/>
              <w:rPr/>
            </w:pPr>
            <w:r>
              <w:rPr/>
              <w:t> </w:t>
            </w:r>
          </w:p>
        </w:tc>
        <w:tc>
          <w:tcPr>
            <w:tcW w:w="1059"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9" w:type="dxa"/>
            <w:tcBorders/>
            <w:shd w:fill="CCEEFF" w:val="clear"/>
            <w:vAlign w:val="center"/>
          </w:tcPr>
          <w:p>
            <w:pPr>
              <w:pStyle w:val="TableContents"/>
              <w:bidi w:val="0"/>
              <w:spacing w:before="0" w:after="283"/>
              <w:jc w:val="left"/>
              <w:rPr/>
            </w:pPr>
            <w:r>
              <w:rPr/>
              <w:t> </w:t>
            </w:r>
          </w:p>
        </w:tc>
        <w:tc>
          <w:tcPr>
            <w:tcW w:w="1188" w:type="dxa"/>
            <w:tcBorders/>
            <w:shd w:fill="CCEEFF" w:val="clear"/>
            <w:vAlign w:val="center"/>
          </w:tcPr>
          <w:p>
            <w:pPr>
              <w:pStyle w:val="TableContents"/>
              <w:bidi w:val="0"/>
              <w:spacing w:before="0" w:after="283"/>
              <w:jc w:val="right"/>
              <w:rPr/>
            </w:pPr>
            <w:r>
              <w:rPr/>
              <w:t>-</w:t>
            </w:r>
          </w:p>
        </w:tc>
        <w:tc>
          <w:tcPr>
            <w:tcW w:w="149"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219" w:type="dxa"/>
            <w:tcBorders/>
            <w:shd w:fill="CCEEFF" w:val="clear"/>
            <w:vAlign w:val="center"/>
          </w:tcPr>
          <w:p>
            <w:pPr>
              <w:pStyle w:val="TableContents"/>
              <w:bidi w:val="0"/>
              <w:spacing w:before="0" w:after="283"/>
              <w:jc w:val="left"/>
              <w:rPr/>
            </w:pPr>
            <w:r>
              <w:rPr/>
              <w:t> </w:t>
            </w:r>
          </w:p>
        </w:tc>
        <w:tc>
          <w:tcPr>
            <w:tcW w:w="1188" w:type="dxa"/>
            <w:tcBorders/>
            <w:shd w:fill="CCEEFF" w:val="clear"/>
            <w:vAlign w:val="center"/>
          </w:tcPr>
          <w:p>
            <w:pPr>
              <w:pStyle w:val="TableContents"/>
              <w:bidi w:val="0"/>
              <w:spacing w:before="0" w:after="283"/>
              <w:jc w:val="right"/>
              <w:rPr/>
            </w:pPr>
            <w:r>
              <w:rPr/>
              <w:t>253</w:t>
            </w:r>
          </w:p>
        </w:tc>
        <w:tc>
          <w:tcPr>
            <w:tcW w:w="117" w:type="dxa"/>
            <w:tcBorders/>
            <w:shd w:fill="CCEEFF" w:val="clear"/>
            <w:vAlign w:val="center"/>
          </w:tcPr>
          <w:p>
            <w:pPr>
              <w:pStyle w:val="TableContents"/>
              <w:bidi w:val="0"/>
              <w:spacing w:before="0" w:after="283"/>
              <w:jc w:val="left"/>
              <w:rPr/>
            </w:pPr>
            <w:r>
              <w:rPr/>
              <w:t> </w:t>
            </w:r>
            <w:bookmarkStart w:id="1184" w:name="xdx_400_eus-gaap--DepreciationAndAmortiz"/>
            <w:bookmarkEnd w:id="1184"/>
          </w:p>
        </w:tc>
      </w:tr>
      <w:tr>
        <w:trPr/>
        <w:tc>
          <w:tcPr>
            <w:tcW w:w="3776" w:type="dxa"/>
            <w:tcBorders/>
            <w:shd w:fill="FFFFFF" w:val="clear"/>
            <w:vAlign w:val="center"/>
          </w:tcPr>
          <w:p>
            <w:pPr>
              <w:pStyle w:val="TableContents"/>
              <w:bidi w:val="0"/>
              <w:spacing w:before="0" w:after="283"/>
              <w:jc w:val="left"/>
              <w:rPr/>
            </w:pPr>
            <w:r>
              <w:rPr/>
              <w:t>Depreciation and amortization</w:t>
            </w:r>
          </w:p>
        </w:tc>
        <w:tc>
          <w:tcPr>
            <w:tcW w:w="60" w:type="dxa"/>
            <w:tcBorders/>
            <w:shd w:fill="FFFFFF" w:val="clear"/>
            <w:vAlign w:val="center"/>
          </w:tcPr>
          <w:p>
            <w:pPr>
              <w:pStyle w:val="TableContents"/>
              <w:bidi w:val="0"/>
              <w:spacing w:before="0" w:after="283"/>
              <w:jc w:val="left"/>
              <w:rPr/>
            </w:pPr>
            <w:r>
              <w:rPr/>
              <w:t> </w:t>
            </w:r>
          </w:p>
        </w:tc>
        <w:tc>
          <w:tcPr>
            <w:tcW w:w="23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58" w:type="dxa"/>
            <w:tcBorders>
              <w:bottom w:val="single" w:sz="8" w:space="0" w:color="000000"/>
            </w:tcBorders>
            <w:shd w:fill="FFFFFF" w:val="clear"/>
            <w:tcMar>
              <w:bottom w:w="28" w:type="dxa"/>
            </w:tcMar>
            <w:vAlign w:val="center"/>
          </w:tcPr>
          <w:p>
            <w:pPr>
              <w:pStyle w:val="TableContents"/>
              <w:bidi w:val="0"/>
              <w:spacing w:before="0" w:after="283"/>
              <w:jc w:val="right"/>
              <w:rPr/>
            </w:pPr>
            <w:r>
              <w:rPr/>
              <w:t>1,488</w:t>
            </w:r>
          </w:p>
        </w:tc>
        <w:tc>
          <w:tcPr>
            <w:tcW w:w="158" w:type="dxa"/>
            <w:tcBorders/>
            <w:shd w:fill="FFFFFF" w:val="clear"/>
            <w:vAlign w:val="center"/>
          </w:tcPr>
          <w:p>
            <w:pPr>
              <w:pStyle w:val="TableContents"/>
              <w:bidi w:val="0"/>
              <w:spacing w:before="0" w:after="283"/>
              <w:jc w:val="left"/>
              <w:rPr/>
            </w:pPr>
            <w:r>
              <w:rPr/>
              <w:t> </w:t>
            </w:r>
          </w:p>
        </w:tc>
        <w:tc>
          <w:tcPr>
            <w:tcW w:w="99" w:type="dxa"/>
            <w:tcBorders/>
            <w:shd w:fill="FFFFFF" w:val="clear"/>
            <w:vAlign w:val="center"/>
          </w:tcPr>
          <w:p>
            <w:pPr>
              <w:pStyle w:val="TableContents"/>
              <w:bidi w:val="0"/>
              <w:spacing w:before="0" w:after="283"/>
              <w:jc w:val="left"/>
              <w:rPr/>
            </w:pPr>
            <w:r>
              <w:rPr/>
              <w:t> </w:t>
            </w:r>
          </w:p>
        </w:tc>
        <w:tc>
          <w:tcPr>
            <w:tcW w:w="23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9" w:type="dxa"/>
            <w:tcBorders>
              <w:bottom w:val="single" w:sz="8" w:space="0" w:color="000000"/>
            </w:tcBorders>
            <w:shd w:fill="FFFFFF" w:val="clear"/>
            <w:tcMar>
              <w:bottom w:w="28" w:type="dxa"/>
            </w:tcMar>
            <w:vAlign w:val="center"/>
          </w:tcPr>
          <w:p>
            <w:pPr>
              <w:pStyle w:val="TableContents"/>
              <w:bidi w:val="0"/>
              <w:spacing w:before="0" w:after="283"/>
              <w:jc w:val="right"/>
              <w:rPr/>
            </w:pPr>
            <w:r>
              <w:rPr/>
              <w:t>31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88" w:type="dxa"/>
            <w:tcBorders>
              <w:bottom w:val="single" w:sz="8" w:space="0" w:color="000000"/>
            </w:tcBorders>
            <w:shd w:fill="FFFFFF" w:val="clear"/>
            <w:tcMar>
              <w:bottom w:w="28" w:type="dxa"/>
            </w:tcMar>
            <w:vAlign w:val="center"/>
          </w:tcPr>
          <w:p>
            <w:pPr>
              <w:pStyle w:val="TableContents"/>
              <w:bidi w:val="0"/>
              <w:spacing w:before="0" w:after="283"/>
              <w:jc w:val="right"/>
              <w:rPr/>
            </w:pPr>
            <w:r>
              <w:rPr/>
              <w:t>2,065</w:t>
            </w:r>
          </w:p>
        </w:tc>
        <w:tc>
          <w:tcPr>
            <w:tcW w:w="149" w:type="dxa"/>
            <w:tcBorders/>
            <w:shd w:fill="FFFFFF" w:val="clear"/>
            <w:vAlign w:val="center"/>
          </w:tcPr>
          <w:p>
            <w:pPr>
              <w:pStyle w:val="TableContents"/>
              <w:bidi w:val="0"/>
              <w:spacing w:before="0" w:after="283"/>
              <w:jc w:val="left"/>
              <w:rPr/>
            </w:pPr>
            <w:r>
              <w:rPr/>
              <w:t> </w:t>
            </w:r>
          </w:p>
        </w:tc>
        <w:tc>
          <w:tcPr>
            <w:tcW w:w="94" w:type="dxa"/>
            <w:tcBorders/>
            <w:shd w:fill="FFFFFF" w:val="clear"/>
            <w:vAlign w:val="center"/>
          </w:tcPr>
          <w:p>
            <w:pPr>
              <w:pStyle w:val="TableContents"/>
              <w:bidi w:val="0"/>
              <w:spacing w:before="0" w:after="283"/>
              <w:jc w:val="left"/>
              <w:rPr/>
            </w:pPr>
            <w:r>
              <w:rPr/>
              <w:t> </w:t>
            </w:r>
          </w:p>
        </w:tc>
        <w:tc>
          <w:tcPr>
            <w:tcW w:w="21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88" w:type="dxa"/>
            <w:tcBorders>
              <w:bottom w:val="single" w:sz="8" w:space="0" w:color="000000"/>
            </w:tcBorders>
            <w:shd w:fill="FFFFFF" w:val="clear"/>
            <w:tcMar>
              <w:bottom w:w="28" w:type="dxa"/>
            </w:tcMar>
            <w:vAlign w:val="center"/>
          </w:tcPr>
          <w:p>
            <w:pPr>
              <w:pStyle w:val="TableContents"/>
              <w:bidi w:val="0"/>
              <w:spacing w:before="0" w:after="283"/>
              <w:jc w:val="right"/>
              <w:rPr/>
            </w:pPr>
            <w:r>
              <w:rPr/>
              <w:t>158</w:t>
            </w:r>
          </w:p>
        </w:tc>
        <w:tc>
          <w:tcPr>
            <w:tcW w:w="117" w:type="dxa"/>
            <w:tcBorders/>
            <w:shd w:fill="FFFFFF" w:val="clear"/>
            <w:vAlign w:val="center"/>
          </w:tcPr>
          <w:p>
            <w:pPr>
              <w:pStyle w:val="TableContents"/>
              <w:bidi w:val="0"/>
              <w:spacing w:before="0" w:after="283"/>
              <w:jc w:val="left"/>
              <w:rPr/>
            </w:pPr>
            <w:r>
              <w:rPr/>
              <w:t> </w:t>
            </w:r>
            <w:bookmarkStart w:id="1185" w:name="xdx_40A_eus-gaap--OperatingExpenses_i01N"/>
            <w:bookmarkEnd w:id="1185"/>
          </w:p>
        </w:tc>
      </w:tr>
      <w:tr>
        <w:trPr/>
        <w:tc>
          <w:tcPr>
            <w:tcW w:w="3776" w:type="dxa"/>
            <w:tcBorders/>
            <w:shd w:fill="CCEEFF" w:val="clear"/>
            <w:vAlign w:val="center"/>
          </w:tcPr>
          <w:p>
            <w:pPr>
              <w:pStyle w:val="TableContents"/>
              <w:bidi w:val="0"/>
              <w:spacing w:before="0" w:after="283"/>
              <w:jc w:val="left"/>
              <w:rPr/>
            </w:pPr>
            <w:r>
              <w:rPr/>
              <w:t>Total operating and segment expense</w:t>
            </w:r>
          </w:p>
        </w:tc>
        <w:tc>
          <w:tcPr>
            <w:tcW w:w="60" w:type="dxa"/>
            <w:tcBorders/>
            <w:shd w:fill="CCEEFF" w:val="clear"/>
            <w:vAlign w:val="center"/>
          </w:tcPr>
          <w:p>
            <w:pPr>
              <w:pStyle w:val="TableContents"/>
              <w:bidi w:val="0"/>
              <w:spacing w:before="0" w:after="283"/>
              <w:jc w:val="left"/>
              <w:rPr/>
            </w:pPr>
            <w:r>
              <w:rPr/>
              <w:t> </w:t>
            </w:r>
          </w:p>
        </w:tc>
        <w:tc>
          <w:tcPr>
            <w:tcW w:w="233" w:type="dxa"/>
            <w:tcBorders/>
            <w:shd w:fill="CCEEFF" w:val="clear"/>
            <w:vAlign w:val="center"/>
          </w:tcPr>
          <w:p>
            <w:pPr>
              <w:pStyle w:val="TableContents"/>
              <w:bidi w:val="0"/>
              <w:spacing w:before="0" w:after="283"/>
              <w:jc w:val="left"/>
              <w:rPr/>
            </w:pPr>
            <w:r>
              <w:rPr/>
              <w:t> </w:t>
            </w:r>
          </w:p>
        </w:tc>
        <w:tc>
          <w:tcPr>
            <w:tcW w:w="1258" w:type="dxa"/>
            <w:tcBorders/>
            <w:shd w:fill="CCEEFF" w:val="clear"/>
            <w:vAlign w:val="center"/>
          </w:tcPr>
          <w:p>
            <w:pPr>
              <w:pStyle w:val="TableContents"/>
              <w:bidi w:val="0"/>
              <w:spacing w:before="0" w:after="283"/>
              <w:jc w:val="right"/>
              <w:rPr/>
            </w:pPr>
            <w:r>
              <w:rPr/>
              <w:t>(6,113</w:t>
            </w:r>
          </w:p>
        </w:tc>
        <w:tc>
          <w:tcPr>
            <w:tcW w:w="158" w:type="dxa"/>
            <w:tcBorders/>
            <w:shd w:fill="CCEEFF" w:val="clear"/>
            <w:vAlign w:val="center"/>
          </w:tcPr>
          <w:p>
            <w:pPr>
              <w:pStyle w:val="TableContents"/>
              <w:bidi w:val="0"/>
              <w:spacing w:before="0" w:after="283"/>
              <w:jc w:val="left"/>
              <w:rPr/>
            </w:pPr>
            <w:r>
              <w:rPr/>
              <w:t>)</w:t>
            </w:r>
          </w:p>
        </w:tc>
        <w:tc>
          <w:tcPr>
            <w:tcW w:w="99" w:type="dxa"/>
            <w:tcBorders/>
            <w:shd w:fill="CCEEFF" w:val="clear"/>
            <w:vAlign w:val="center"/>
          </w:tcPr>
          <w:p>
            <w:pPr>
              <w:pStyle w:val="TableContents"/>
              <w:bidi w:val="0"/>
              <w:spacing w:before="0" w:after="283"/>
              <w:jc w:val="left"/>
              <w:rPr/>
            </w:pPr>
            <w:r>
              <w:rPr/>
              <w:t> </w:t>
            </w:r>
          </w:p>
        </w:tc>
        <w:tc>
          <w:tcPr>
            <w:tcW w:w="233" w:type="dxa"/>
            <w:tcBorders/>
            <w:shd w:fill="CCEEFF" w:val="clear"/>
            <w:vAlign w:val="center"/>
          </w:tcPr>
          <w:p>
            <w:pPr>
              <w:pStyle w:val="TableContents"/>
              <w:bidi w:val="0"/>
              <w:spacing w:before="0" w:after="283"/>
              <w:jc w:val="left"/>
              <w:rPr/>
            </w:pPr>
            <w:r>
              <w:rPr/>
              <w:t> </w:t>
            </w:r>
          </w:p>
        </w:tc>
        <w:tc>
          <w:tcPr>
            <w:tcW w:w="1059" w:type="dxa"/>
            <w:tcBorders/>
            <w:shd w:fill="CCEEFF" w:val="clear"/>
            <w:vAlign w:val="center"/>
          </w:tcPr>
          <w:p>
            <w:pPr>
              <w:pStyle w:val="TableContents"/>
              <w:bidi w:val="0"/>
              <w:spacing w:before="0" w:after="283"/>
              <w:jc w:val="right"/>
              <w:rPr/>
            </w:pPr>
            <w:r>
              <w:rPr/>
              <w:t>(2,950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19" w:type="dxa"/>
            <w:tcBorders/>
            <w:shd w:fill="CCEEFF" w:val="clear"/>
            <w:vAlign w:val="center"/>
          </w:tcPr>
          <w:p>
            <w:pPr>
              <w:pStyle w:val="TableContents"/>
              <w:bidi w:val="0"/>
              <w:spacing w:before="0" w:after="283"/>
              <w:jc w:val="left"/>
              <w:rPr/>
            </w:pPr>
            <w:r>
              <w:rPr/>
              <w:t> </w:t>
            </w:r>
          </w:p>
        </w:tc>
        <w:tc>
          <w:tcPr>
            <w:tcW w:w="1188" w:type="dxa"/>
            <w:tcBorders/>
            <w:shd w:fill="CCEEFF" w:val="clear"/>
            <w:vAlign w:val="center"/>
          </w:tcPr>
          <w:p>
            <w:pPr>
              <w:pStyle w:val="TableContents"/>
              <w:bidi w:val="0"/>
              <w:spacing w:before="0" w:after="283"/>
              <w:jc w:val="right"/>
              <w:rPr/>
            </w:pPr>
            <w:r>
              <w:rPr/>
              <w:t>(29,461</w:t>
            </w:r>
          </w:p>
        </w:tc>
        <w:tc>
          <w:tcPr>
            <w:tcW w:w="149" w:type="dxa"/>
            <w:tcBorders/>
            <w:shd w:fill="CCEEFF" w:val="clear"/>
            <w:vAlign w:val="center"/>
          </w:tcPr>
          <w:p>
            <w:pPr>
              <w:pStyle w:val="TableContents"/>
              <w:bidi w:val="0"/>
              <w:spacing w:before="0" w:after="283"/>
              <w:jc w:val="left"/>
              <w:rPr/>
            </w:pPr>
            <w:r>
              <w:rPr/>
              <w:t>)</w:t>
            </w:r>
          </w:p>
        </w:tc>
        <w:tc>
          <w:tcPr>
            <w:tcW w:w="94" w:type="dxa"/>
            <w:tcBorders/>
            <w:shd w:fill="CCEEFF" w:val="clear"/>
            <w:vAlign w:val="center"/>
          </w:tcPr>
          <w:p>
            <w:pPr>
              <w:pStyle w:val="TableContents"/>
              <w:bidi w:val="0"/>
              <w:spacing w:before="0" w:after="283"/>
              <w:jc w:val="left"/>
              <w:rPr/>
            </w:pPr>
            <w:r>
              <w:rPr/>
              <w:t> </w:t>
            </w:r>
          </w:p>
        </w:tc>
        <w:tc>
          <w:tcPr>
            <w:tcW w:w="219" w:type="dxa"/>
            <w:tcBorders/>
            <w:shd w:fill="CCEEFF" w:val="clear"/>
            <w:vAlign w:val="center"/>
          </w:tcPr>
          <w:p>
            <w:pPr>
              <w:pStyle w:val="TableContents"/>
              <w:bidi w:val="0"/>
              <w:spacing w:before="0" w:after="283"/>
              <w:jc w:val="left"/>
              <w:rPr/>
            </w:pPr>
            <w:r>
              <w:rPr/>
              <w:t> </w:t>
            </w:r>
          </w:p>
        </w:tc>
        <w:tc>
          <w:tcPr>
            <w:tcW w:w="1188" w:type="dxa"/>
            <w:tcBorders/>
            <w:shd w:fill="CCEEFF" w:val="clear"/>
            <w:vAlign w:val="center"/>
          </w:tcPr>
          <w:p>
            <w:pPr>
              <w:pStyle w:val="TableContents"/>
              <w:bidi w:val="0"/>
              <w:spacing w:before="0" w:after="283"/>
              <w:jc w:val="right"/>
              <w:rPr/>
            </w:pPr>
            <w:r>
              <w:rPr/>
              <w:t>(11,679</w:t>
            </w:r>
          </w:p>
        </w:tc>
        <w:tc>
          <w:tcPr>
            <w:tcW w:w="117" w:type="dxa"/>
            <w:tcBorders/>
            <w:shd w:fill="CCEEFF" w:val="clear"/>
            <w:vAlign w:val="center"/>
          </w:tcPr>
          <w:p>
            <w:pPr>
              <w:pStyle w:val="TableContents"/>
              <w:bidi w:val="0"/>
              <w:spacing w:before="0" w:after="283"/>
              <w:jc w:val="left"/>
              <w:rPr/>
            </w:pPr>
            <w:r>
              <w:rPr/>
              <w:t>)</w:t>
            </w:r>
          </w:p>
        </w:tc>
      </w:tr>
      <w:tr>
        <w:trPr/>
        <w:tc>
          <w:tcPr>
            <w:tcW w:w="3776" w:type="dxa"/>
            <w:tcBorders/>
            <w:shd w:fill="FFFFFF" w:val="clear"/>
            <w:vAlign w:val="center"/>
          </w:tcPr>
          <w:p>
            <w:pPr>
              <w:pStyle w:val="TableContents"/>
              <w:bidi w:val="0"/>
              <w:spacing w:before="0" w:after="283"/>
              <w:jc w:val="left"/>
              <w:rPr/>
            </w:pPr>
            <w:r>
              <w:rPr/>
              <w:t>Plus:</w:t>
            </w:r>
          </w:p>
        </w:tc>
        <w:tc>
          <w:tcPr>
            <w:tcW w:w="60" w:type="dxa"/>
            <w:tcBorders/>
            <w:shd w:fill="FFFFFF" w:val="clear"/>
            <w:vAlign w:val="center"/>
          </w:tcPr>
          <w:p>
            <w:pPr>
              <w:pStyle w:val="TableContents"/>
              <w:bidi w:val="0"/>
              <w:spacing w:before="0" w:after="283"/>
              <w:jc w:val="left"/>
              <w:rPr/>
            </w:pPr>
            <w:r>
              <w:rPr/>
              <w:t> </w:t>
            </w:r>
          </w:p>
        </w:tc>
        <w:tc>
          <w:tcPr>
            <w:tcW w:w="233" w:type="dxa"/>
            <w:tcBorders/>
            <w:shd w:fill="FFFFFF" w:val="clear"/>
            <w:vAlign w:val="center"/>
          </w:tcPr>
          <w:p>
            <w:pPr>
              <w:pStyle w:val="TableContents"/>
              <w:bidi w:val="0"/>
              <w:spacing w:before="0" w:after="283"/>
              <w:jc w:val="left"/>
              <w:rPr/>
            </w:pPr>
            <w:r>
              <w:rPr/>
              <w:t> </w:t>
            </w:r>
          </w:p>
        </w:tc>
        <w:tc>
          <w:tcPr>
            <w:tcW w:w="1258" w:type="dxa"/>
            <w:tcBorders/>
            <w:shd w:fill="FFFFFF" w:val="clear"/>
            <w:vAlign w:val="center"/>
          </w:tcPr>
          <w:p>
            <w:pPr>
              <w:pStyle w:val="TableContents"/>
              <w:bidi w:val="0"/>
              <w:spacing w:before="0" w:after="283"/>
              <w:jc w:val="right"/>
              <w:rPr/>
            </w:pPr>
            <w:r>
              <w:rPr/>
              <w:t> </w:t>
            </w:r>
          </w:p>
        </w:tc>
        <w:tc>
          <w:tcPr>
            <w:tcW w:w="158" w:type="dxa"/>
            <w:tcBorders/>
            <w:shd w:fill="FFFFFF" w:val="clear"/>
            <w:vAlign w:val="center"/>
          </w:tcPr>
          <w:p>
            <w:pPr>
              <w:pStyle w:val="TableContents"/>
              <w:bidi w:val="0"/>
              <w:spacing w:before="0" w:after="283"/>
              <w:jc w:val="left"/>
              <w:rPr/>
            </w:pPr>
            <w:r>
              <w:rPr/>
              <w:t> </w:t>
            </w:r>
          </w:p>
        </w:tc>
        <w:tc>
          <w:tcPr>
            <w:tcW w:w="99" w:type="dxa"/>
            <w:tcBorders/>
            <w:shd w:fill="FFFFFF" w:val="clear"/>
            <w:vAlign w:val="center"/>
          </w:tcPr>
          <w:p>
            <w:pPr>
              <w:pStyle w:val="TableContents"/>
              <w:bidi w:val="0"/>
              <w:spacing w:before="0" w:after="283"/>
              <w:jc w:val="left"/>
              <w:rPr/>
            </w:pPr>
            <w:r>
              <w:rPr/>
              <w:t> </w:t>
            </w:r>
          </w:p>
        </w:tc>
        <w:tc>
          <w:tcPr>
            <w:tcW w:w="233" w:type="dxa"/>
            <w:tcBorders/>
            <w:shd w:fill="FFFFFF" w:val="clear"/>
            <w:vAlign w:val="center"/>
          </w:tcPr>
          <w:p>
            <w:pPr>
              <w:pStyle w:val="TableContents"/>
              <w:bidi w:val="0"/>
              <w:spacing w:before="0" w:after="283"/>
              <w:jc w:val="left"/>
              <w:rPr/>
            </w:pPr>
            <w:r>
              <w:rPr/>
              <w:t> </w:t>
            </w:r>
          </w:p>
        </w:tc>
        <w:tc>
          <w:tcPr>
            <w:tcW w:w="1059"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9" w:type="dxa"/>
            <w:tcBorders/>
            <w:shd w:fill="FFFFFF" w:val="clear"/>
            <w:vAlign w:val="center"/>
          </w:tcPr>
          <w:p>
            <w:pPr>
              <w:pStyle w:val="TableContents"/>
              <w:bidi w:val="0"/>
              <w:spacing w:before="0" w:after="283"/>
              <w:jc w:val="left"/>
              <w:rPr/>
            </w:pPr>
            <w:r>
              <w:rPr/>
              <w:t> </w:t>
            </w:r>
          </w:p>
        </w:tc>
        <w:tc>
          <w:tcPr>
            <w:tcW w:w="1188" w:type="dxa"/>
            <w:tcBorders/>
            <w:shd w:fill="FFFFFF" w:val="clear"/>
            <w:vAlign w:val="center"/>
          </w:tcPr>
          <w:p>
            <w:pPr>
              <w:pStyle w:val="TableContents"/>
              <w:bidi w:val="0"/>
              <w:spacing w:before="0" w:after="283"/>
              <w:jc w:val="right"/>
              <w:rPr/>
            </w:pPr>
            <w:r>
              <w:rPr/>
              <w:t> </w:t>
            </w:r>
          </w:p>
        </w:tc>
        <w:tc>
          <w:tcPr>
            <w:tcW w:w="149" w:type="dxa"/>
            <w:tcBorders/>
            <w:shd w:fill="FFFFFF" w:val="clear"/>
            <w:vAlign w:val="center"/>
          </w:tcPr>
          <w:p>
            <w:pPr>
              <w:pStyle w:val="TableContents"/>
              <w:bidi w:val="0"/>
              <w:spacing w:before="0" w:after="283"/>
              <w:jc w:val="left"/>
              <w:rPr/>
            </w:pPr>
            <w:r>
              <w:rPr/>
              <w:t> </w:t>
            </w:r>
          </w:p>
        </w:tc>
        <w:tc>
          <w:tcPr>
            <w:tcW w:w="94" w:type="dxa"/>
            <w:tcBorders/>
            <w:shd w:fill="FFFFFF" w:val="clear"/>
            <w:vAlign w:val="center"/>
          </w:tcPr>
          <w:p>
            <w:pPr>
              <w:pStyle w:val="TableContents"/>
              <w:bidi w:val="0"/>
              <w:spacing w:before="0" w:after="283"/>
              <w:jc w:val="left"/>
              <w:rPr/>
            </w:pPr>
            <w:r>
              <w:rPr/>
              <w:t> </w:t>
            </w:r>
          </w:p>
        </w:tc>
        <w:tc>
          <w:tcPr>
            <w:tcW w:w="219" w:type="dxa"/>
            <w:tcBorders/>
            <w:shd w:fill="FFFFFF" w:val="clear"/>
            <w:vAlign w:val="center"/>
          </w:tcPr>
          <w:p>
            <w:pPr>
              <w:pStyle w:val="TableContents"/>
              <w:bidi w:val="0"/>
              <w:spacing w:before="0" w:after="283"/>
              <w:jc w:val="left"/>
              <w:rPr/>
            </w:pPr>
            <w:r>
              <w:rPr/>
              <w:t> </w:t>
            </w:r>
          </w:p>
        </w:tc>
        <w:tc>
          <w:tcPr>
            <w:tcW w:w="1188" w:type="dxa"/>
            <w:tcBorders/>
            <w:shd w:fill="FFFFFF" w:val="clear"/>
            <w:vAlign w:val="center"/>
          </w:tcPr>
          <w:p>
            <w:pPr>
              <w:pStyle w:val="TableContents"/>
              <w:bidi w:val="0"/>
              <w:spacing w:before="0" w:after="283"/>
              <w:jc w:val="right"/>
              <w:rPr/>
            </w:pPr>
            <w:r>
              <w:rPr/>
              <w:t> </w:t>
            </w:r>
          </w:p>
        </w:tc>
        <w:tc>
          <w:tcPr>
            <w:tcW w:w="117" w:type="dxa"/>
            <w:tcBorders/>
            <w:shd w:fill="FFFFFF" w:val="clear"/>
            <w:vAlign w:val="center"/>
          </w:tcPr>
          <w:p>
            <w:pPr>
              <w:pStyle w:val="TableContents"/>
              <w:bidi w:val="0"/>
              <w:spacing w:before="0" w:after="283"/>
              <w:jc w:val="left"/>
              <w:rPr/>
            </w:pPr>
            <w:r>
              <w:rPr/>
              <w:t> </w:t>
            </w:r>
            <w:bookmarkStart w:id="1186" w:name="xdx_40E_eus-gaap--InterestIncomeExpenseN"/>
            <w:bookmarkEnd w:id="1186"/>
          </w:p>
        </w:tc>
      </w:tr>
      <w:tr>
        <w:trPr/>
        <w:tc>
          <w:tcPr>
            <w:tcW w:w="3776" w:type="dxa"/>
            <w:tcBorders/>
            <w:shd w:fill="CCEEFF" w:val="clear"/>
            <w:vAlign w:val="center"/>
          </w:tcPr>
          <w:p>
            <w:pPr>
              <w:pStyle w:val="TableContents"/>
              <w:bidi w:val="0"/>
              <w:spacing w:before="0" w:after="283"/>
              <w:jc w:val="left"/>
              <w:rPr/>
            </w:pPr>
            <w:r>
              <w:rPr/>
              <w:t>Interest income (expense)</w:t>
            </w:r>
          </w:p>
        </w:tc>
        <w:tc>
          <w:tcPr>
            <w:tcW w:w="60" w:type="dxa"/>
            <w:tcBorders/>
            <w:shd w:fill="CCEEFF" w:val="clear"/>
            <w:vAlign w:val="center"/>
          </w:tcPr>
          <w:p>
            <w:pPr>
              <w:pStyle w:val="TableContents"/>
              <w:bidi w:val="0"/>
              <w:spacing w:before="0" w:after="283"/>
              <w:jc w:val="left"/>
              <w:rPr/>
            </w:pPr>
            <w:r>
              <w:rPr/>
              <w:t> </w:t>
            </w:r>
          </w:p>
        </w:tc>
        <w:tc>
          <w:tcPr>
            <w:tcW w:w="233" w:type="dxa"/>
            <w:tcBorders/>
            <w:shd w:fill="CCEEFF" w:val="clear"/>
            <w:vAlign w:val="center"/>
          </w:tcPr>
          <w:p>
            <w:pPr>
              <w:pStyle w:val="TableContents"/>
              <w:bidi w:val="0"/>
              <w:spacing w:before="0" w:after="283"/>
              <w:jc w:val="left"/>
              <w:rPr/>
            </w:pPr>
            <w:r>
              <w:rPr/>
              <w:t> </w:t>
            </w:r>
          </w:p>
        </w:tc>
        <w:tc>
          <w:tcPr>
            <w:tcW w:w="1258" w:type="dxa"/>
            <w:tcBorders/>
            <w:shd w:fill="CCEEFF" w:val="clear"/>
            <w:vAlign w:val="center"/>
          </w:tcPr>
          <w:p>
            <w:pPr>
              <w:pStyle w:val="TableContents"/>
              <w:bidi w:val="0"/>
              <w:spacing w:before="0" w:after="283"/>
              <w:jc w:val="right"/>
              <w:rPr/>
            </w:pPr>
            <w:r>
              <w:rPr/>
              <w:t>(10</w:t>
            </w:r>
          </w:p>
        </w:tc>
        <w:tc>
          <w:tcPr>
            <w:tcW w:w="158" w:type="dxa"/>
            <w:tcBorders/>
            <w:shd w:fill="CCEEFF" w:val="clear"/>
            <w:vAlign w:val="center"/>
          </w:tcPr>
          <w:p>
            <w:pPr>
              <w:pStyle w:val="TableContents"/>
              <w:bidi w:val="0"/>
              <w:spacing w:before="0" w:after="283"/>
              <w:jc w:val="left"/>
              <w:rPr/>
            </w:pPr>
            <w:r>
              <w:rPr/>
              <w:t>)</w:t>
            </w:r>
          </w:p>
        </w:tc>
        <w:tc>
          <w:tcPr>
            <w:tcW w:w="99" w:type="dxa"/>
            <w:tcBorders/>
            <w:shd w:fill="CCEEFF" w:val="clear"/>
            <w:vAlign w:val="center"/>
          </w:tcPr>
          <w:p>
            <w:pPr>
              <w:pStyle w:val="TableContents"/>
              <w:bidi w:val="0"/>
              <w:spacing w:before="0" w:after="283"/>
              <w:jc w:val="left"/>
              <w:rPr/>
            </w:pPr>
            <w:r>
              <w:rPr/>
              <w:t> </w:t>
            </w:r>
          </w:p>
        </w:tc>
        <w:tc>
          <w:tcPr>
            <w:tcW w:w="233" w:type="dxa"/>
            <w:tcBorders/>
            <w:shd w:fill="CCEEFF" w:val="clear"/>
            <w:vAlign w:val="center"/>
          </w:tcPr>
          <w:p>
            <w:pPr>
              <w:pStyle w:val="TableContents"/>
              <w:bidi w:val="0"/>
              <w:spacing w:before="0" w:after="283"/>
              <w:jc w:val="left"/>
              <w:rPr/>
            </w:pPr>
            <w:r>
              <w:rPr/>
              <w:t> </w:t>
            </w:r>
          </w:p>
        </w:tc>
        <w:tc>
          <w:tcPr>
            <w:tcW w:w="1059"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9" w:type="dxa"/>
            <w:tcBorders/>
            <w:shd w:fill="CCEEFF" w:val="clear"/>
            <w:vAlign w:val="center"/>
          </w:tcPr>
          <w:p>
            <w:pPr>
              <w:pStyle w:val="TableContents"/>
              <w:bidi w:val="0"/>
              <w:spacing w:before="0" w:after="283"/>
              <w:jc w:val="left"/>
              <w:rPr/>
            </w:pPr>
            <w:r>
              <w:rPr/>
              <w:t> </w:t>
            </w:r>
          </w:p>
        </w:tc>
        <w:tc>
          <w:tcPr>
            <w:tcW w:w="1188" w:type="dxa"/>
            <w:tcBorders/>
            <w:shd w:fill="CCEEFF" w:val="clear"/>
            <w:vAlign w:val="center"/>
          </w:tcPr>
          <w:p>
            <w:pPr>
              <w:pStyle w:val="TableContents"/>
              <w:bidi w:val="0"/>
              <w:spacing w:before="0" w:after="283"/>
              <w:jc w:val="right"/>
              <w:rPr/>
            </w:pPr>
            <w:r>
              <w:rPr/>
              <w:t>3</w:t>
            </w:r>
          </w:p>
        </w:tc>
        <w:tc>
          <w:tcPr>
            <w:tcW w:w="149"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219" w:type="dxa"/>
            <w:tcBorders/>
            <w:shd w:fill="CCEEFF" w:val="clear"/>
            <w:vAlign w:val="center"/>
          </w:tcPr>
          <w:p>
            <w:pPr>
              <w:pStyle w:val="TableContents"/>
              <w:bidi w:val="0"/>
              <w:spacing w:before="0" w:after="283"/>
              <w:jc w:val="left"/>
              <w:rPr/>
            </w:pPr>
            <w:r>
              <w:rPr/>
              <w:t> </w:t>
            </w:r>
          </w:p>
        </w:tc>
        <w:tc>
          <w:tcPr>
            <w:tcW w:w="1188" w:type="dxa"/>
            <w:tcBorders/>
            <w:shd w:fill="CCEEFF" w:val="clear"/>
            <w:vAlign w:val="center"/>
          </w:tcPr>
          <w:p>
            <w:pPr>
              <w:pStyle w:val="TableContents"/>
              <w:bidi w:val="0"/>
              <w:spacing w:before="0" w:after="283"/>
              <w:jc w:val="right"/>
              <w:rPr/>
            </w:pPr>
            <w:r>
              <w:rPr/>
              <w:t>(8</w:t>
            </w:r>
          </w:p>
        </w:tc>
        <w:tc>
          <w:tcPr>
            <w:tcW w:w="117" w:type="dxa"/>
            <w:tcBorders/>
            <w:shd w:fill="CCEEFF" w:val="clear"/>
            <w:vAlign w:val="center"/>
          </w:tcPr>
          <w:p>
            <w:pPr>
              <w:pStyle w:val="TableContents"/>
              <w:bidi w:val="0"/>
              <w:spacing w:before="0" w:after="283"/>
              <w:jc w:val="left"/>
              <w:rPr/>
            </w:pPr>
            <w:r>
              <w:rPr/>
              <w:t>)</w:t>
            </w:r>
            <w:bookmarkStart w:id="1187" w:name="xdx_40A_ecustom--ChangeInFairValuesOfDer"/>
            <w:bookmarkEnd w:id="1187"/>
          </w:p>
        </w:tc>
      </w:tr>
      <w:tr>
        <w:trPr/>
        <w:tc>
          <w:tcPr>
            <w:tcW w:w="3776" w:type="dxa"/>
            <w:tcBorders/>
            <w:shd w:fill="FFFFFF" w:val="clear"/>
            <w:vAlign w:val="center"/>
          </w:tcPr>
          <w:p>
            <w:pPr>
              <w:pStyle w:val="TableContents"/>
              <w:bidi w:val="0"/>
              <w:spacing w:before="0" w:after="283"/>
              <w:jc w:val="left"/>
              <w:rPr/>
            </w:pPr>
            <w:r>
              <w:rPr/>
              <w:t>Change in fair value of derivative liability</w:t>
            </w:r>
          </w:p>
        </w:tc>
        <w:tc>
          <w:tcPr>
            <w:tcW w:w="60" w:type="dxa"/>
            <w:tcBorders/>
            <w:shd w:fill="FFFFFF" w:val="clear"/>
            <w:vAlign w:val="center"/>
          </w:tcPr>
          <w:p>
            <w:pPr>
              <w:pStyle w:val="TableContents"/>
              <w:bidi w:val="0"/>
              <w:spacing w:before="0" w:after="283"/>
              <w:jc w:val="left"/>
              <w:rPr/>
            </w:pPr>
            <w:r>
              <w:rPr/>
              <w:t> </w:t>
            </w:r>
          </w:p>
        </w:tc>
        <w:tc>
          <w:tcPr>
            <w:tcW w:w="233" w:type="dxa"/>
            <w:tcBorders/>
            <w:shd w:fill="FFFFFF" w:val="clear"/>
            <w:vAlign w:val="center"/>
          </w:tcPr>
          <w:p>
            <w:pPr>
              <w:pStyle w:val="TableContents"/>
              <w:bidi w:val="0"/>
              <w:spacing w:before="0" w:after="283"/>
              <w:jc w:val="left"/>
              <w:rPr/>
            </w:pPr>
            <w:r>
              <w:rPr/>
              <w:t> </w:t>
            </w:r>
          </w:p>
        </w:tc>
        <w:tc>
          <w:tcPr>
            <w:tcW w:w="1258" w:type="dxa"/>
            <w:tcBorders/>
            <w:shd w:fill="FFFFFF" w:val="clear"/>
            <w:vAlign w:val="center"/>
          </w:tcPr>
          <w:p>
            <w:pPr>
              <w:pStyle w:val="TableContents"/>
              <w:bidi w:val="0"/>
              <w:spacing w:before="0" w:after="283"/>
              <w:jc w:val="right"/>
              <w:rPr/>
            </w:pPr>
            <w:r>
              <w:rPr/>
              <w:t>(10,214</w:t>
            </w:r>
          </w:p>
        </w:tc>
        <w:tc>
          <w:tcPr>
            <w:tcW w:w="158" w:type="dxa"/>
            <w:tcBorders/>
            <w:shd w:fill="FFFFFF" w:val="clear"/>
            <w:vAlign w:val="center"/>
          </w:tcPr>
          <w:p>
            <w:pPr>
              <w:pStyle w:val="TableContents"/>
              <w:bidi w:val="0"/>
              <w:spacing w:before="0" w:after="283"/>
              <w:jc w:val="left"/>
              <w:rPr/>
            </w:pPr>
            <w:r>
              <w:rPr/>
              <w:t>)</w:t>
            </w:r>
          </w:p>
        </w:tc>
        <w:tc>
          <w:tcPr>
            <w:tcW w:w="99" w:type="dxa"/>
            <w:tcBorders/>
            <w:shd w:fill="FFFFFF" w:val="clear"/>
            <w:vAlign w:val="center"/>
          </w:tcPr>
          <w:p>
            <w:pPr>
              <w:pStyle w:val="TableContents"/>
              <w:bidi w:val="0"/>
              <w:spacing w:before="0" w:after="283"/>
              <w:jc w:val="left"/>
              <w:rPr/>
            </w:pPr>
            <w:r>
              <w:rPr/>
              <w:t> </w:t>
            </w:r>
          </w:p>
        </w:tc>
        <w:tc>
          <w:tcPr>
            <w:tcW w:w="233" w:type="dxa"/>
            <w:tcBorders/>
            <w:shd w:fill="FFFFFF" w:val="clear"/>
            <w:vAlign w:val="center"/>
          </w:tcPr>
          <w:p>
            <w:pPr>
              <w:pStyle w:val="TableContents"/>
              <w:bidi w:val="0"/>
              <w:spacing w:before="0" w:after="283"/>
              <w:jc w:val="left"/>
              <w:rPr/>
            </w:pPr>
            <w:r>
              <w:rPr/>
              <w:t> </w:t>
            </w:r>
          </w:p>
        </w:tc>
        <w:tc>
          <w:tcPr>
            <w:tcW w:w="1059"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9" w:type="dxa"/>
            <w:tcBorders/>
            <w:shd w:fill="FFFFFF" w:val="clear"/>
            <w:vAlign w:val="center"/>
          </w:tcPr>
          <w:p>
            <w:pPr>
              <w:pStyle w:val="TableContents"/>
              <w:bidi w:val="0"/>
              <w:spacing w:before="0" w:after="283"/>
              <w:jc w:val="left"/>
              <w:rPr/>
            </w:pPr>
            <w:r>
              <w:rPr/>
              <w:t> </w:t>
            </w:r>
          </w:p>
        </w:tc>
        <w:tc>
          <w:tcPr>
            <w:tcW w:w="1188" w:type="dxa"/>
            <w:tcBorders/>
            <w:shd w:fill="FFFFFF" w:val="clear"/>
            <w:vAlign w:val="center"/>
          </w:tcPr>
          <w:p>
            <w:pPr>
              <w:pStyle w:val="TableContents"/>
              <w:bidi w:val="0"/>
              <w:spacing w:before="0" w:after="283"/>
              <w:jc w:val="right"/>
              <w:rPr/>
            </w:pPr>
            <w:r>
              <w:rPr/>
              <w:t>(10,214</w:t>
            </w:r>
          </w:p>
        </w:tc>
        <w:tc>
          <w:tcPr>
            <w:tcW w:w="149" w:type="dxa"/>
            <w:tcBorders/>
            <w:shd w:fill="FFFFFF" w:val="clear"/>
            <w:vAlign w:val="center"/>
          </w:tcPr>
          <w:p>
            <w:pPr>
              <w:pStyle w:val="TableContents"/>
              <w:bidi w:val="0"/>
              <w:spacing w:before="0" w:after="283"/>
              <w:jc w:val="left"/>
              <w:rPr/>
            </w:pPr>
            <w:r>
              <w:rPr/>
              <w:t>)</w:t>
            </w:r>
          </w:p>
        </w:tc>
        <w:tc>
          <w:tcPr>
            <w:tcW w:w="94" w:type="dxa"/>
            <w:tcBorders/>
            <w:shd w:fill="FFFFFF" w:val="clear"/>
            <w:vAlign w:val="center"/>
          </w:tcPr>
          <w:p>
            <w:pPr>
              <w:pStyle w:val="TableContents"/>
              <w:bidi w:val="0"/>
              <w:spacing w:before="0" w:after="283"/>
              <w:jc w:val="left"/>
              <w:rPr/>
            </w:pPr>
            <w:r>
              <w:rPr/>
              <w:t> </w:t>
            </w:r>
          </w:p>
        </w:tc>
        <w:tc>
          <w:tcPr>
            <w:tcW w:w="219" w:type="dxa"/>
            <w:tcBorders/>
            <w:shd w:fill="FFFFFF" w:val="clear"/>
            <w:vAlign w:val="center"/>
          </w:tcPr>
          <w:p>
            <w:pPr>
              <w:pStyle w:val="TableContents"/>
              <w:bidi w:val="0"/>
              <w:spacing w:before="0" w:after="283"/>
              <w:jc w:val="left"/>
              <w:rPr/>
            </w:pPr>
            <w:r>
              <w:rPr/>
              <w:t> </w:t>
            </w:r>
          </w:p>
        </w:tc>
        <w:tc>
          <w:tcPr>
            <w:tcW w:w="1188" w:type="dxa"/>
            <w:tcBorders/>
            <w:shd w:fill="FFFFFF" w:val="clear"/>
            <w:vAlign w:val="center"/>
          </w:tcPr>
          <w:p>
            <w:pPr>
              <w:pStyle w:val="TableContents"/>
              <w:bidi w:val="0"/>
              <w:spacing w:before="0" w:after="283"/>
              <w:jc w:val="right"/>
              <w:rPr/>
            </w:pPr>
            <w:r>
              <w:rPr/>
              <w:t>-</w:t>
            </w:r>
          </w:p>
        </w:tc>
        <w:tc>
          <w:tcPr>
            <w:tcW w:w="117" w:type="dxa"/>
            <w:tcBorders/>
            <w:shd w:fill="FFFFFF" w:val="clear"/>
            <w:vAlign w:val="center"/>
          </w:tcPr>
          <w:p>
            <w:pPr>
              <w:pStyle w:val="TableContents"/>
              <w:bidi w:val="0"/>
              <w:spacing w:before="0" w:after="283"/>
              <w:jc w:val="left"/>
              <w:rPr/>
            </w:pPr>
            <w:r>
              <w:rPr/>
              <w:t> </w:t>
            </w:r>
            <w:bookmarkStart w:id="1188" w:name="xdx_40A_eus-gaap--GainsLossesOnExtinguis"/>
            <w:bookmarkEnd w:id="1188"/>
          </w:p>
        </w:tc>
      </w:tr>
      <w:tr>
        <w:trPr/>
        <w:tc>
          <w:tcPr>
            <w:tcW w:w="3776" w:type="dxa"/>
            <w:tcBorders/>
            <w:shd w:fill="CCEEFF" w:val="clear"/>
            <w:vAlign w:val="center"/>
          </w:tcPr>
          <w:p>
            <w:pPr>
              <w:pStyle w:val="TableContents"/>
              <w:bidi w:val="0"/>
              <w:spacing w:before="0" w:after="283"/>
              <w:jc w:val="left"/>
              <w:rPr/>
            </w:pPr>
            <w:r>
              <w:rPr/>
              <w:t>Gain on settlement and extinguishment of debt</w:t>
            </w:r>
          </w:p>
        </w:tc>
        <w:tc>
          <w:tcPr>
            <w:tcW w:w="60" w:type="dxa"/>
            <w:tcBorders/>
            <w:shd w:fill="CCEEFF" w:val="clear"/>
            <w:vAlign w:val="center"/>
          </w:tcPr>
          <w:p>
            <w:pPr>
              <w:pStyle w:val="TableContents"/>
              <w:bidi w:val="0"/>
              <w:spacing w:before="0" w:after="283"/>
              <w:jc w:val="left"/>
              <w:rPr/>
            </w:pPr>
            <w:r>
              <w:rPr/>
              <w:t> </w:t>
            </w:r>
          </w:p>
        </w:tc>
        <w:tc>
          <w:tcPr>
            <w:tcW w:w="233" w:type="dxa"/>
            <w:tcBorders/>
            <w:shd w:fill="CCEEFF" w:val="clear"/>
            <w:vAlign w:val="center"/>
          </w:tcPr>
          <w:p>
            <w:pPr>
              <w:pStyle w:val="TableContents"/>
              <w:bidi w:val="0"/>
              <w:spacing w:before="0" w:after="283"/>
              <w:jc w:val="left"/>
              <w:rPr/>
            </w:pPr>
            <w:r>
              <w:rPr/>
              <w:t> </w:t>
            </w:r>
          </w:p>
        </w:tc>
        <w:tc>
          <w:tcPr>
            <w:tcW w:w="1258" w:type="dxa"/>
            <w:tcBorders/>
            <w:shd w:fill="CCEEFF" w:val="clear"/>
            <w:vAlign w:val="center"/>
          </w:tcPr>
          <w:p>
            <w:pPr>
              <w:pStyle w:val="TableContents"/>
              <w:bidi w:val="0"/>
              <w:spacing w:before="0" w:after="283"/>
              <w:jc w:val="right"/>
              <w:rPr/>
            </w:pPr>
            <w:r>
              <w:rPr/>
              <w:t>-</w:t>
            </w:r>
          </w:p>
        </w:tc>
        <w:tc>
          <w:tcPr>
            <w:tcW w:w="158"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233" w:type="dxa"/>
            <w:tcBorders/>
            <w:shd w:fill="CCEEFF" w:val="clear"/>
            <w:vAlign w:val="center"/>
          </w:tcPr>
          <w:p>
            <w:pPr>
              <w:pStyle w:val="TableContents"/>
              <w:bidi w:val="0"/>
              <w:spacing w:before="0" w:after="283"/>
              <w:jc w:val="left"/>
              <w:rPr/>
            </w:pPr>
            <w:r>
              <w:rPr/>
              <w:t> </w:t>
            </w:r>
          </w:p>
        </w:tc>
        <w:tc>
          <w:tcPr>
            <w:tcW w:w="1059" w:type="dxa"/>
            <w:tcBorders/>
            <w:shd w:fill="CCEEFF" w:val="clear"/>
            <w:vAlign w:val="center"/>
          </w:tcPr>
          <w:p>
            <w:pPr>
              <w:pStyle w:val="TableContents"/>
              <w:bidi w:val="0"/>
              <w:spacing w:before="0" w:after="283"/>
              <w:jc w:val="right"/>
              <w:rPr/>
            </w:pPr>
            <w:r>
              <w:rPr/>
              <w:t>1,021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9" w:type="dxa"/>
            <w:tcBorders/>
            <w:shd w:fill="CCEEFF" w:val="clear"/>
            <w:vAlign w:val="center"/>
          </w:tcPr>
          <w:p>
            <w:pPr>
              <w:pStyle w:val="TableContents"/>
              <w:bidi w:val="0"/>
              <w:spacing w:before="0" w:after="283"/>
              <w:jc w:val="left"/>
              <w:rPr/>
            </w:pPr>
            <w:r>
              <w:rPr/>
              <w:t> </w:t>
            </w:r>
          </w:p>
        </w:tc>
        <w:tc>
          <w:tcPr>
            <w:tcW w:w="1188" w:type="dxa"/>
            <w:tcBorders/>
            <w:shd w:fill="CCEEFF" w:val="clear"/>
            <w:vAlign w:val="center"/>
          </w:tcPr>
          <w:p>
            <w:pPr>
              <w:pStyle w:val="TableContents"/>
              <w:bidi w:val="0"/>
              <w:spacing w:before="0" w:after="283"/>
              <w:jc w:val="right"/>
              <w:rPr/>
            </w:pPr>
            <w:r>
              <w:rPr/>
              <w:t>196</w:t>
            </w:r>
          </w:p>
        </w:tc>
        <w:tc>
          <w:tcPr>
            <w:tcW w:w="149"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219" w:type="dxa"/>
            <w:tcBorders/>
            <w:shd w:fill="CCEEFF" w:val="clear"/>
            <w:vAlign w:val="center"/>
          </w:tcPr>
          <w:p>
            <w:pPr>
              <w:pStyle w:val="TableContents"/>
              <w:bidi w:val="0"/>
              <w:spacing w:before="0" w:after="283"/>
              <w:jc w:val="left"/>
              <w:rPr/>
            </w:pPr>
            <w:r>
              <w:rPr/>
              <w:t> </w:t>
            </w:r>
          </w:p>
        </w:tc>
        <w:tc>
          <w:tcPr>
            <w:tcW w:w="1188" w:type="dxa"/>
            <w:tcBorders/>
            <w:shd w:fill="CCEEFF" w:val="clear"/>
            <w:vAlign w:val="center"/>
          </w:tcPr>
          <w:p>
            <w:pPr>
              <w:pStyle w:val="TableContents"/>
              <w:bidi w:val="0"/>
              <w:spacing w:before="0" w:after="283"/>
              <w:jc w:val="right"/>
              <w:rPr/>
            </w:pPr>
            <w:r>
              <w:rPr/>
              <w:t>2,409</w:t>
            </w:r>
          </w:p>
        </w:tc>
        <w:tc>
          <w:tcPr>
            <w:tcW w:w="117" w:type="dxa"/>
            <w:tcBorders/>
            <w:shd w:fill="CCEEFF" w:val="clear"/>
            <w:vAlign w:val="center"/>
          </w:tcPr>
          <w:p>
            <w:pPr>
              <w:pStyle w:val="TableContents"/>
              <w:bidi w:val="0"/>
              <w:spacing w:before="0" w:after="283"/>
              <w:jc w:val="left"/>
              <w:rPr/>
            </w:pPr>
            <w:r>
              <w:rPr/>
              <w:t> </w:t>
            </w:r>
            <w:bookmarkStart w:id="1189" w:name="xdx_40E_eus-gaap--OtherNonoperatingIncom"/>
            <w:bookmarkEnd w:id="1189"/>
          </w:p>
        </w:tc>
      </w:tr>
      <w:tr>
        <w:trPr/>
        <w:tc>
          <w:tcPr>
            <w:tcW w:w="3776" w:type="dxa"/>
            <w:tcBorders/>
            <w:shd w:fill="FFFFFF" w:val="clear"/>
            <w:vAlign w:val="center"/>
          </w:tcPr>
          <w:p>
            <w:pPr>
              <w:pStyle w:val="TableContents"/>
              <w:bidi w:val="0"/>
              <w:spacing w:before="0" w:after="283"/>
              <w:jc w:val="left"/>
              <w:rPr/>
            </w:pPr>
            <w:r>
              <w:rPr/>
              <w:t>Other income (expense)</w:t>
            </w:r>
          </w:p>
        </w:tc>
        <w:tc>
          <w:tcPr>
            <w:tcW w:w="60" w:type="dxa"/>
            <w:tcBorders/>
            <w:shd w:fill="FFFFFF" w:val="clear"/>
            <w:vAlign w:val="center"/>
          </w:tcPr>
          <w:p>
            <w:pPr>
              <w:pStyle w:val="TableContents"/>
              <w:bidi w:val="0"/>
              <w:spacing w:before="0" w:after="283"/>
              <w:jc w:val="left"/>
              <w:rPr/>
            </w:pPr>
            <w:r>
              <w:rPr/>
              <w:t> </w:t>
            </w:r>
          </w:p>
        </w:tc>
        <w:tc>
          <w:tcPr>
            <w:tcW w:w="23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58" w:type="dxa"/>
            <w:tcBorders>
              <w:bottom w:val="single" w:sz="8" w:space="0" w:color="000000"/>
            </w:tcBorders>
            <w:shd w:fill="FFFFFF" w:val="clear"/>
            <w:tcMar>
              <w:bottom w:w="28" w:type="dxa"/>
            </w:tcMar>
            <w:vAlign w:val="center"/>
          </w:tcPr>
          <w:p>
            <w:pPr>
              <w:pStyle w:val="TableContents"/>
              <w:bidi w:val="0"/>
              <w:spacing w:before="0" w:after="283"/>
              <w:jc w:val="right"/>
              <w:rPr/>
            </w:pPr>
            <w:r>
              <w:rPr/>
              <w:t>(12</w:t>
            </w:r>
          </w:p>
        </w:tc>
        <w:tc>
          <w:tcPr>
            <w:tcW w:w="158" w:type="dxa"/>
            <w:tcBorders/>
            <w:shd w:fill="FFFFFF" w:val="clear"/>
            <w:vAlign w:val="center"/>
          </w:tcPr>
          <w:p>
            <w:pPr>
              <w:pStyle w:val="TableContents"/>
              <w:bidi w:val="0"/>
              <w:spacing w:before="0" w:after="283"/>
              <w:jc w:val="left"/>
              <w:rPr/>
            </w:pPr>
            <w:r>
              <w:rPr/>
              <w:t>)</w:t>
            </w:r>
          </w:p>
        </w:tc>
        <w:tc>
          <w:tcPr>
            <w:tcW w:w="99" w:type="dxa"/>
            <w:tcBorders/>
            <w:shd w:fill="FFFFFF" w:val="clear"/>
            <w:vAlign w:val="center"/>
          </w:tcPr>
          <w:p>
            <w:pPr>
              <w:pStyle w:val="TableContents"/>
              <w:bidi w:val="0"/>
              <w:spacing w:before="0" w:after="283"/>
              <w:jc w:val="left"/>
              <w:rPr/>
            </w:pPr>
            <w:r>
              <w:rPr/>
              <w:t> </w:t>
            </w:r>
          </w:p>
        </w:tc>
        <w:tc>
          <w:tcPr>
            <w:tcW w:w="23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9" w:type="dxa"/>
            <w:tcBorders>
              <w:bottom w:val="single" w:sz="8" w:space="0" w:color="000000"/>
            </w:tcBorders>
            <w:shd w:fill="FFFFFF" w:val="clear"/>
            <w:tcMar>
              <w:bottom w:w="28" w:type="dxa"/>
            </w:tcMar>
            <w:vAlign w:val="center"/>
          </w:tcPr>
          <w:p>
            <w:pPr>
              <w:pStyle w:val="TableContents"/>
              <w:bidi w:val="0"/>
              <w:spacing w:before="0" w:after="283"/>
              <w:jc w:val="right"/>
              <w:rPr/>
            </w:pPr>
            <w:r>
              <w:rPr/>
              <w:t>15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88" w:type="dxa"/>
            <w:tcBorders>
              <w:bottom w:val="single" w:sz="8" w:space="0" w:color="000000"/>
            </w:tcBorders>
            <w:shd w:fill="FFFFFF" w:val="clear"/>
            <w:tcMar>
              <w:bottom w:w="28" w:type="dxa"/>
            </w:tcMar>
            <w:vAlign w:val="center"/>
          </w:tcPr>
          <w:p>
            <w:pPr>
              <w:pStyle w:val="TableContents"/>
              <w:bidi w:val="0"/>
              <w:spacing w:before="0" w:after="283"/>
              <w:jc w:val="right"/>
              <w:rPr/>
            </w:pPr>
            <w:r>
              <w:rPr/>
              <w:t>(40</w:t>
            </w:r>
          </w:p>
        </w:tc>
        <w:tc>
          <w:tcPr>
            <w:tcW w:w="149" w:type="dxa"/>
            <w:tcBorders/>
            <w:shd w:fill="FFFFFF" w:val="clear"/>
            <w:vAlign w:val="center"/>
          </w:tcPr>
          <w:p>
            <w:pPr>
              <w:pStyle w:val="TableContents"/>
              <w:bidi w:val="0"/>
              <w:spacing w:before="0" w:after="283"/>
              <w:jc w:val="left"/>
              <w:rPr/>
            </w:pPr>
            <w:r>
              <w:rPr/>
              <w:t>)</w:t>
            </w:r>
          </w:p>
        </w:tc>
        <w:tc>
          <w:tcPr>
            <w:tcW w:w="94" w:type="dxa"/>
            <w:tcBorders/>
            <w:shd w:fill="FFFFFF" w:val="clear"/>
            <w:vAlign w:val="center"/>
          </w:tcPr>
          <w:p>
            <w:pPr>
              <w:pStyle w:val="TableContents"/>
              <w:bidi w:val="0"/>
              <w:spacing w:before="0" w:after="283"/>
              <w:jc w:val="left"/>
              <w:rPr/>
            </w:pPr>
            <w:r>
              <w:rPr/>
              <w:t> </w:t>
            </w:r>
          </w:p>
        </w:tc>
        <w:tc>
          <w:tcPr>
            <w:tcW w:w="21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88" w:type="dxa"/>
            <w:tcBorders>
              <w:bottom w:val="single" w:sz="8" w:space="0" w:color="000000"/>
            </w:tcBorders>
            <w:shd w:fill="FFFFFF" w:val="clear"/>
            <w:tcMar>
              <w:bottom w:w="28" w:type="dxa"/>
            </w:tcMar>
            <w:vAlign w:val="center"/>
          </w:tcPr>
          <w:p>
            <w:pPr>
              <w:pStyle w:val="TableContents"/>
              <w:bidi w:val="0"/>
              <w:spacing w:before="0" w:after="283"/>
              <w:jc w:val="right"/>
              <w:rPr/>
            </w:pPr>
            <w:r>
              <w:rPr/>
              <w:t>38</w:t>
            </w:r>
          </w:p>
        </w:tc>
        <w:tc>
          <w:tcPr>
            <w:tcW w:w="117" w:type="dxa"/>
            <w:tcBorders/>
            <w:shd w:fill="FFFFFF" w:val="clear"/>
            <w:vAlign w:val="center"/>
          </w:tcPr>
          <w:p>
            <w:pPr>
              <w:pStyle w:val="TableContents"/>
              <w:bidi w:val="0"/>
              <w:spacing w:before="0" w:after="283"/>
              <w:jc w:val="left"/>
              <w:rPr/>
            </w:pPr>
            <w:r>
              <w:rPr/>
              <w:t> </w:t>
            </w:r>
            <w:bookmarkStart w:id="1190" w:name="xdx_403_eus-gaap--NonoperatingIncomeExpe"/>
            <w:bookmarkEnd w:id="1190"/>
          </w:p>
        </w:tc>
      </w:tr>
      <w:tr>
        <w:trPr/>
        <w:tc>
          <w:tcPr>
            <w:tcW w:w="3776" w:type="dxa"/>
            <w:tcBorders/>
            <w:shd w:fill="CCEEFF" w:val="clear"/>
            <w:vAlign w:val="center"/>
          </w:tcPr>
          <w:p>
            <w:pPr>
              <w:pStyle w:val="TableContents"/>
              <w:bidi w:val="0"/>
              <w:spacing w:before="0" w:after="283"/>
              <w:jc w:val="left"/>
              <w:rPr/>
            </w:pPr>
            <w:r>
              <w:rPr/>
              <w:t>Total other income (expense)</w:t>
            </w:r>
          </w:p>
        </w:tc>
        <w:tc>
          <w:tcPr>
            <w:tcW w:w="60" w:type="dxa"/>
            <w:tcBorders/>
            <w:shd w:fill="CCEEFF" w:val="clear"/>
            <w:vAlign w:val="center"/>
          </w:tcPr>
          <w:p>
            <w:pPr>
              <w:pStyle w:val="TableContents"/>
              <w:bidi w:val="0"/>
              <w:spacing w:before="0" w:after="283"/>
              <w:jc w:val="left"/>
              <w:rPr/>
            </w:pPr>
            <w:r>
              <w:rPr/>
              <w:t> </w:t>
            </w:r>
          </w:p>
        </w:tc>
        <w:tc>
          <w:tcPr>
            <w:tcW w:w="23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58" w:type="dxa"/>
            <w:tcBorders>
              <w:bottom w:val="single" w:sz="8" w:space="0" w:color="000000"/>
            </w:tcBorders>
            <w:shd w:fill="CCEEFF" w:val="clear"/>
            <w:tcMar>
              <w:bottom w:w="28" w:type="dxa"/>
            </w:tcMar>
            <w:vAlign w:val="center"/>
          </w:tcPr>
          <w:p>
            <w:pPr>
              <w:pStyle w:val="TableContents"/>
              <w:bidi w:val="0"/>
              <w:spacing w:before="0" w:after="283"/>
              <w:jc w:val="right"/>
              <w:rPr/>
            </w:pPr>
            <w:r>
              <w:rPr/>
              <w:t>(10,236</w:t>
            </w:r>
          </w:p>
        </w:tc>
        <w:tc>
          <w:tcPr>
            <w:tcW w:w="158" w:type="dxa"/>
            <w:tcBorders/>
            <w:shd w:fill="CCEEFF" w:val="clear"/>
            <w:vAlign w:val="center"/>
          </w:tcPr>
          <w:p>
            <w:pPr>
              <w:pStyle w:val="TableContents"/>
              <w:bidi w:val="0"/>
              <w:spacing w:before="0" w:after="283"/>
              <w:jc w:val="left"/>
              <w:rPr/>
            </w:pPr>
            <w:r>
              <w:rPr/>
              <w:t>)</w:t>
            </w:r>
          </w:p>
        </w:tc>
        <w:tc>
          <w:tcPr>
            <w:tcW w:w="99" w:type="dxa"/>
            <w:tcBorders/>
            <w:shd w:fill="CCEEFF" w:val="clear"/>
            <w:vAlign w:val="center"/>
          </w:tcPr>
          <w:p>
            <w:pPr>
              <w:pStyle w:val="TableContents"/>
              <w:bidi w:val="0"/>
              <w:spacing w:before="0" w:after="283"/>
              <w:jc w:val="left"/>
              <w:rPr/>
            </w:pPr>
            <w:r>
              <w:rPr/>
              <w:t> </w:t>
            </w:r>
          </w:p>
        </w:tc>
        <w:tc>
          <w:tcPr>
            <w:tcW w:w="23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9" w:type="dxa"/>
            <w:tcBorders>
              <w:bottom w:val="single" w:sz="8" w:space="0" w:color="000000"/>
            </w:tcBorders>
            <w:shd w:fill="CCEEFF" w:val="clear"/>
            <w:tcMar>
              <w:bottom w:w="28" w:type="dxa"/>
            </w:tcMar>
            <w:vAlign w:val="center"/>
          </w:tcPr>
          <w:p>
            <w:pPr>
              <w:pStyle w:val="TableContents"/>
              <w:bidi w:val="0"/>
              <w:spacing w:before="0" w:after="283"/>
              <w:jc w:val="right"/>
              <w:rPr/>
            </w:pPr>
            <w:r>
              <w:rPr/>
              <w:t>1,036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88" w:type="dxa"/>
            <w:tcBorders>
              <w:bottom w:val="single" w:sz="8" w:space="0" w:color="000000"/>
            </w:tcBorders>
            <w:shd w:fill="CCEEFF" w:val="clear"/>
            <w:tcMar>
              <w:bottom w:w="28" w:type="dxa"/>
            </w:tcMar>
            <w:vAlign w:val="center"/>
          </w:tcPr>
          <w:p>
            <w:pPr>
              <w:pStyle w:val="TableContents"/>
              <w:bidi w:val="0"/>
              <w:spacing w:before="0" w:after="283"/>
              <w:jc w:val="right"/>
              <w:rPr/>
            </w:pPr>
            <w:r>
              <w:rPr/>
              <w:t>(10,055</w:t>
            </w:r>
          </w:p>
        </w:tc>
        <w:tc>
          <w:tcPr>
            <w:tcW w:w="149" w:type="dxa"/>
            <w:tcBorders/>
            <w:shd w:fill="CCEEFF" w:val="clear"/>
            <w:vAlign w:val="center"/>
          </w:tcPr>
          <w:p>
            <w:pPr>
              <w:pStyle w:val="TableContents"/>
              <w:bidi w:val="0"/>
              <w:spacing w:before="0" w:after="283"/>
              <w:jc w:val="left"/>
              <w:rPr/>
            </w:pPr>
            <w:r>
              <w:rPr/>
              <w:t>)</w:t>
            </w:r>
          </w:p>
        </w:tc>
        <w:tc>
          <w:tcPr>
            <w:tcW w:w="94" w:type="dxa"/>
            <w:tcBorders/>
            <w:shd w:fill="CCEEFF" w:val="clear"/>
            <w:vAlign w:val="center"/>
          </w:tcPr>
          <w:p>
            <w:pPr>
              <w:pStyle w:val="TableContents"/>
              <w:bidi w:val="0"/>
              <w:spacing w:before="0" w:after="283"/>
              <w:jc w:val="left"/>
              <w:rPr/>
            </w:pPr>
            <w:r>
              <w:rPr/>
              <w:t> </w:t>
            </w:r>
          </w:p>
        </w:tc>
        <w:tc>
          <w:tcPr>
            <w:tcW w:w="21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88" w:type="dxa"/>
            <w:tcBorders>
              <w:bottom w:val="single" w:sz="8" w:space="0" w:color="000000"/>
            </w:tcBorders>
            <w:shd w:fill="CCEEFF" w:val="clear"/>
            <w:tcMar>
              <w:bottom w:w="28" w:type="dxa"/>
            </w:tcMar>
            <w:vAlign w:val="center"/>
          </w:tcPr>
          <w:p>
            <w:pPr>
              <w:pStyle w:val="TableContents"/>
              <w:bidi w:val="0"/>
              <w:spacing w:before="0" w:after="283"/>
              <w:jc w:val="right"/>
              <w:rPr/>
            </w:pPr>
            <w:r>
              <w:rPr/>
              <w:t>2,439</w:t>
            </w:r>
          </w:p>
        </w:tc>
        <w:tc>
          <w:tcPr>
            <w:tcW w:w="117" w:type="dxa"/>
            <w:tcBorders/>
            <w:shd w:fill="CCEEFF" w:val="clear"/>
            <w:vAlign w:val="center"/>
          </w:tcPr>
          <w:p>
            <w:pPr>
              <w:pStyle w:val="TableContents"/>
              <w:bidi w:val="0"/>
              <w:spacing w:before="0" w:after="283"/>
              <w:jc w:val="left"/>
              <w:rPr/>
            </w:pPr>
            <w:r>
              <w:rPr/>
              <w:t> </w:t>
            </w:r>
            <w:bookmarkStart w:id="1191" w:name="xdx_40C_eus-gaap--IncomeTaxExpenseBenefi"/>
            <w:bookmarkEnd w:id="1191"/>
          </w:p>
        </w:tc>
      </w:tr>
      <w:tr>
        <w:trPr/>
        <w:tc>
          <w:tcPr>
            <w:tcW w:w="3776" w:type="dxa"/>
            <w:tcBorders/>
            <w:shd w:fill="FFFFFF" w:val="clear"/>
            <w:vAlign w:val="center"/>
          </w:tcPr>
          <w:p>
            <w:pPr>
              <w:pStyle w:val="TableContents"/>
              <w:bidi w:val="0"/>
              <w:spacing w:before="0" w:after="283"/>
              <w:jc w:val="left"/>
              <w:rPr/>
            </w:pPr>
            <w:r>
              <w:rPr/>
              <w:t>Income taxes (benefit)</w:t>
            </w:r>
          </w:p>
        </w:tc>
        <w:tc>
          <w:tcPr>
            <w:tcW w:w="60" w:type="dxa"/>
            <w:tcBorders/>
            <w:shd w:fill="FFFFFF" w:val="clear"/>
            <w:vAlign w:val="center"/>
          </w:tcPr>
          <w:p>
            <w:pPr>
              <w:pStyle w:val="TableContents"/>
              <w:bidi w:val="0"/>
              <w:spacing w:before="0" w:after="283"/>
              <w:jc w:val="left"/>
              <w:rPr/>
            </w:pPr>
            <w:r>
              <w:rPr/>
              <w:t> </w:t>
            </w:r>
          </w:p>
        </w:tc>
        <w:tc>
          <w:tcPr>
            <w:tcW w:w="23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58" w:type="dxa"/>
            <w:tcBorders>
              <w:bottom w:val="single" w:sz="8" w:space="0" w:color="000000"/>
            </w:tcBorders>
            <w:shd w:fill="FFFFFF" w:val="clear"/>
            <w:tcMar>
              <w:bottom w:w="28" w:type="dxa"/>
            </w:tcMar>
            <w:vAlign w:val="center"/>
          </w:tcPr>
          <w:p>
            <w:pPr>
              <w:pStyle w:val="TableContents"/>
              <w:bidi w:val="0"/>
              <w:spacing w:before="0" w:after="283"/>
              <w:jc w:val="right"/>
              <w:rPr/>
            </w:pPr>
            <w:r>
              <w:rPr/>
              <w:t>(765</w:t>
            </w:r>
          </w:p>
        </w:tc>
        <w:tc>
          <w:tcPr>
            <w:tcW w:w="158" w:type="dxa"/>
            <w:tcBorders/>
            <w:shd w:fill="FFFFFF" w:val="clear"/>
            <w:vAlign w:val="center"/>
          </w:tcPr>
          <w:p>
            <w:pPr>
              <w:pStyle w:val="TableContents"/>
              <w:bidi w:val="0"/>
              <w:spacing w:before="0" w:after="283"/>
              <w:jc w:val="left"/>
              <w:rPr/>
            </w:pPr>
            <w:r>
              <w:rPr/>
              <w:t>)</w:t>
            </w:r>
          </w:p>
        </w:tc>
        <w:tc>
          <w:tcPr>
            <w:tcW w:w="99" w:type="dxa"/>
            <w:tcBorders/>
            <w:shd w:fill="FFFFFF" w:val="clear"/>
            <w:vAlign w:val="center"/>
          </w:tcPr>
          <w:p>
            <w:pPr>
              <w:pStyle w:val="TableContents"/>
              <w:bidi w:val="0"/>
              <w:spacing w:before="0" w:after="283"/>
              <w:jc w:val="left"/>
              <w:rPr/>
            </w:pPr>
            <w:r>
              <w:rPr/>
              <w:t> </w:t>
            </w:r>
          </w:p>
        </w:tc>
        <w:tc>
          <w:tcPr>
            <w:tcW w:w="23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9"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88" w:type="dxa"/>
            <w:tcBorders>
              <w:bottom w:val="single" w:sz="8" w:space="0" w:color="000000"/>
            </w:tcBorders>
            <w:shd w:fill="FFFFFF" w:val="clear"/>
            <w:tcMar>
              <w:bottom w:w="28" w:type="dxa"/>
            </w:tcMar>
            <w:vAlign w:val="center"/>
          </w:tcPr>
          <w:p>
            <w:pPr>
              <w:pStyle w:val="TableContents"/>
              <w:bidi w:val="0"/>
              <w:spacing w:before="0" w:after="283"/>
              <w:jc w:val="right"/>
              <w:rPr/>
            </w:pPr>
            <w:r>
              <w:rPr/>
              <w:t>(765</w:t>
            </w:r>
          </w:p>
        </w:tc>
        <w:tc>
          <w:tcPr>
            <w:tcW w:w="149" w:type="dxa"/>
            <w:tcBorders/>
            <w:shd w:fill="FFFFFF" w:val="clear"/>
            <w:vAlign w:val="center"/>
          </w:tcPr>
          <w:p>
            <w:pPr>
              <w:pStyle w:val="TableContents"/>
              <w:bidi w:val="0"/>
              <w:spacing w:before="0" w:after="283"/>
              <w:jc w:val="left"/>
              <w:rPr/>
            </w:pPr>
            <w:r>
              <w:rPr/>
              <w:t>)</w:t>
            </w:r>
          </w:p>
        </w:tc>
        <w:tc>
          <w:tcPr>
            <w:tcW w:w="94" w:type="dxa"/>
            <w:tcBorders/>
            <w:shd w:fill="FFFFFF" w:val="clear"/>
            <w:vAlign w:val="center"/>
          </w:tcPr>
          <w:p>
            <w:pPr>
              <w:pStyle w:val="TableContents"/>
              <w:bidi w:val="0"/>
              <w:spacing w:before="0" w:after="283"/>
              <w:jc w:val="left"/>
              <w:rPr/>
            </w:pPr>
            <w:r>
              <w:rPr/>
              <w:t> </w:t>
            </w:r>
          </w:p>
        </w:tc>
        <w:tc>
          <w:tcPr>
            <w:tcW w:w="21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88"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117" w:type="dxa"/>
            <w:tcBorders/>
            <w:shd w:fill="FFFFFF" w:val="clear"/>
            <w:vAlign w:val="center"/>
          </w:tcPr>
          <w:p>
            <w:pPr>
              <w:pStyle w:val="TableContents"/>
              <w:bidi w:val="0"/>
              <w:spacing w:before="0" w:after="283"/>
              <w:jc w:val="left"/>
              <w:rPr/>
            </w:pPr>
            <w:r>
              <w:rPr/>
              <w:t> </w:t>
            </w:r>
            <w:bookmarkStart w:id="1192" w:name="xdx_40B_eus-gaap--ProfitLoss_iT_pn3n3_mt"/>
            <w:bookmarkEnd w:id="1192"/>
          </w:p>
        </w:tc>
      </w:tr>
      <w:tr>
        <w:trPr/>
        <w:tc>
          <w:tcPr>
            <w:tcW w:w="3776" w:type="dxa"/>
            <w:tcBorders/>
            <w:shd w:fill="CCEEFF" w:val="clear"/>
            <w:vAlign w:val="center"/>
          </w:tcPr>
          <w:p>
            <w:pPr>
              <w:pStyle w:val="TableContents"/>
              <w:bidi w:val="0"/>
              <w:spacing w:before="0" w:after="283"/>
              <w:jc w:val="left"/>
              <w:rPr/>
            </w:pPr>
            <w:r>
              <w:rPr/>
              <w:t>Segment Net Loss</w:t>
            </w:r>
          </w:p>
        </w:tc>
        <w:tc>
          <w:tcPr>
            <w:tcW w:w="60" w:type="dxa"/>
            <w:tcBorders/>
            <w:shd w:fill="CCEEFF" w:val="clear"/>
            <w:vAlign w:val="center"/>
          </w:tcPr>
          <w:p>
            <w:pPr>
              <w:pStyle w:val="TableContents"/>
              <w:bidi w:val="0"/>
              <w:spacing w:before="0" w:after="283"/>
              <w:jc w:val="left"/>
              <w:rPr/>
            </w:pPr>
            <w:r>
              <w:rPr/>
              <w:t> </w:t>
            </w:r>
          </w:p>
        </w:tc>
        <w:tc>
          <w:tcPr>
            <w:tcW w:w="233" w:type="dxa"/>
            <w:tcBorders/>
            <w:shd w:fill="CCEEFF" w:val="clear"/>
            <w:vAlign w:val="center"/>
          </w:tcPr>
          <w:p>
            <w:pPr>
              <w:pStyle w:val="TableContents"/>
              <w:bidi w:val="0"/>
              <w:spacing w:before="0" w:after="283"/>
              <w:jc w:val="left"/>
              <w:rPr/>
            </w:pPr>
            <w:r>
              <w:rPr/>
              <w:t>$</w:t>
            </w:r>
          </w:p>
        </w:tc>
        <w:tc>
          <w:tcPr>
            <w:tcW w:w="1258" w:type="dxa"/>
            <w:tcBorders/>
            <w:shd w:fill="CCEEFF" w:val="clear"/>
            <w:vAlign w:val="center"/>
          </w:tcPr>
          <w:p>
            <w:pPr>
              <w:pStyle w:val="TableContents"/>
              <w:bidi w:val="0"/>
              <w:spacing w:before="0" w:after="283"/>
              <w:jc w:val="right"/>
              <w:rPr/>
            </w:pPr>
            <w:r>
              <w:rPr/>
              <w:t>(15,584</w:t>
            </w:r>
          </w:p>
        </w:tc>
        <w:tc>
          <w:tcPr>
            <w:tcW w:w="158" w:type="dxa"/>
            <w:tcBorders/>
            <w:shd w:fill="CCEEFF" w:val="clear"/>
            <w:vAlign w:val="center"/>
          </w:tcPr>
          <w:p>
            <w:pPr>
              <w:pStyle w:val="TableContents"/>
              <w:bidi w:val="0"/>
              <w:spacing w:before="0" w:after="283"/>
              <w:jc w:val="left"/>
              <w:rPr/>
            </w:pPr>
            <w:r>
              <w:rPr/>
              <w:t>)</w:t>
            </w:r>
          </w:p>
        </w:tc>
        <w:tc>
          <w:tcPr>
            <w:tcW w:w="99" w:type="dxa"/>
            <w:tcBorders/>
            <w:shd w:fill="CCEEFF" w:val="clear"/>
            <w:vAlign w:val="center"/>
          </w:tcPr>
          <w:p>
            <w:pPr>
              <w:pStyle w:val="TableContents"/>
              <w:bidi w:val="0"/>
              <w:spacing w:before="0" w:after="283"/>
              <w:jc w:val="left"/>
              <w:rPr/>
            </w:pPr>
            <w:r>
              <w:rPr/>
              <w:t> </w:t>
            </w:r>
          </w:p>
        </w:tc>
        <w:tc>
          <w:tcPr>
            <w:tcW w:w="233" w:type="dxa"/>
            <w:tcBorders/>
            <w:shd w:fill="CCEEFF" w:val="clear"/>
            <w:vAlign w:val="center"/>
          </w:tcPr>
          <w:p>
            <w:pPr>
              <w:pStyle w:val="TableContents"/>
              <w:bidi w:val="0"/>
              <w:spacing w:before="0" w:after="283"/>
              <w:jc w:val="left"/>
              <w:rPr/>
            </w:pPr>
            <w:r>
              <w:rPr/>
              <w:t>$</w:t>
            </w:r>
          </w:p>
        </w:tc>
        <w:tc>
          <w:tcPr>
            <w:tcW w:w="1059" w:type="dxa"/>
            <w:tcBorders/>
            <w:shd w:fill="CCEEFF" w:val="clear"/>
            <w:vAlign w:val="center"/>
          </w:tcPr>
          <w:p>
            <w:pPr>
              <w:pStyle w:val="TableContents"/>
              <w:bidi w:val="0"/>
              <w:spacing w:before="0" w:after="283"/>
              <w:jc w:val="right"/>
              <w:rPr/>
            </w:pPr>
            <w:r>
              <w:rPr/>
              <w:t>(1,914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19" w:type="dxa"/>
            <w:tcBorders/>
            <w:shd w:fill="CCEEFF" w:val="clear"/>
            <w:vAlign w:val="center"/>
          </w:tcPr>
          <w:p>
            <w:pPr>
              <w:pStyle w:val="TableContents"/>
              <w:bidi w:val="0"/>
              <w:spacing w:before="0" w:after="283"/>
              <w:jc w:val="left"/>
              <w:rPr/>
            </w:pPr>
            <w:r>
              <w:rPr/>
              <w:t>$</w:t>
            </w:r>
          </w:p>
        </w:tc>
        <w:tc>
          <w:tcPr>
            <w:tcW w:w="1188" w:type="dxa"/>
            <w:tcBorders/>
            <w:shd w:fill="CCEEFF" w:val="clear"/>
            <w:vAlign w:val="center"/>
          </w:tcPr>
          <w:p>
            <w:pPr>
              <w:pStyle w:val="TableContents"/>
              <w:bidi w:val="0"/>
              <w:spacing w:before="0" w:after="283"/>
              <w:jc w:val="right"/>
              <w:rPr/>
            </w:pPr>
            <w:r>
              <w:rPr/>
              <w:t>(38,751</w:t>
            </w:r>
          </w:p>
        </w:tc>
        <w:tc>
          <w:tcPr>
            <w:tcW w:w="149" w:type="dxa"/>
            <w:tcBorders/>
            <w:shd w:fill="CCEEFF" w:val="clear"/>
            <w:vAlign w:val="center"/>
          </w:tcPr>
          <w:p>
            <w:pPr>
              <w:pStyle w:val="TableContents"/>
              <w:bidi w:val="0"/>
              <w:spacing w:before="0" w:after="283"/>
              <w:jc w:val="left"/>
              <w:rPr/>
            </w:pPr>
            <w:r>
              <w:rPr/>
              <w:t>)</w:t>
            </w:r>
          </w:p>
        </w:tc>
        <w:tc>
          <w:tcPr>
            <w:tcW w:w="94" w:type="dxa"/>
            <w:tcBorders/>
            <w:shd w:fill="CCEEFF" w:val="clear"/>
            <w:vAlign w:val="center"/>
          </w:tcPr>
          <w:p>
            <w:pPr>
              <w:pStyle w:val="TableContents"/>
              <w:bidi w:val="0"/>
              <w:spacing w:before="0" w:after="283"/>
              <w:jc w:val="left"/>
              <w:rPr/>
            </w:pPr>
            <w:r>
              <w:rPr/>
              <w:t> </w:t>
            </w:r>
          </w:p>
        </w:tc>
        <w:tc>
          <w:tcPr>
            <w:tcW w:w="219" w:type="dxa"/>
            <w:tcBorders/>
            <w:shd w:fill="CCEEFF" w:val="clear"/>
            <w:vAlign w:val="center"/>
          </w:tcPr>
          <w:p>
            <w:pPr>
              <w:pStyle w:val="TableContents"/>
              <w:bidi w:val="0"/>
              <w:spacing w:before="0" w:after="283"/>
              <w:jc w:val="left"/>
              <w:rPr/>
            </w:pPr>
            <w:r>
              <w:rPr/>
              <w:t>$</w:t>
            </w:r>
          </w:p>
        </w:tc>
        <w:tc>
          <w:tcPr>
            <w:tcW w:w="1188" w:type="dxa"/>
            <w:tcBorders/>
            <w:shd w:fill="CCEEFF" w:val="clear"/>
            <w:vAlign w:val="center"/>
          </w:tcPr>
          <w:p>
            <w:pPr>
              <w:pStyle w:val="TableContents"/>
              <w:bidi w:val="0"/>
              <w:spacing w:before="0" w:after="283"/>
              <w:jc w:val="right"/>
              <w:rPr/>
            </w:pPr>
            <w:r>
              <w:rPr/>
              <w:t>(9,240</w:t>
            </w:r>
          </w:p>
        </w:tc>
        <w:tc>
          <w:tcPr>
            <w:tcW w:w="117" w:type="dxa"/>
            <w:tcBorders/>
            <w:shd w:fill="CCEEFF" w:val="clear"/>
            <w:vAlign w:val="center"/>
          </w:tcPr>
          <w:p>
            <w:pPr>
              <w:pStyle w:val="TableContents"/>
              <w:bidi w:val="0"/>
              <w:spacing w:before="0" w:after="283"/>
              <w:jc w:val="left"/>
              <w:rPr/>
            </w:pPr>
            <w:r>
              <w:rPr/>
              <w:t>)</w:t>
            </w:r>
            <w:bookmarkStart w:id="1193" w:name="xdx_409_eus-gaap--NetIncomeLossAttributa"/>
            <w:bookmarkEnd w:id="1193"/>
          </w:p>
        </w:tc>
      </w:tr>
      <w:tr>
        <w:trPr/>
        <w:tc>
          <w:tcPr>
            <w:tcW w:w="3776" w:type="dxa"/>
            <w:tcBorders/>
            <w:shd w:fill="FFFFFF" w:val="clear"/>
            <w:vAlign w:val="center"/>
          </w:tcPr>
          <w:p>
            <w:pPr>
              <w:pStyle w:val="TableContents"/>
              <w:bidi w:val="0"/>
              <w:spacing w:before="0" w:after="283"/>
              <w:jc w:val="left"/>
              <w:rPr/>
            </w:pPr>
            <w:r>
              <w:rPr/>
              <w:t>Non-controlling interest</w:t>
            </w:r>
          </w:p>
        </w:tc>
        <w:tc>
          <w:tcPr>
            <w:tcW w:w="60" w:type="dxa"/>
            <w:tcBorders/>
            <w:shd w:fill="FFFFFF" w:val="clear"/>
            <w:vAlign w:val="center"/>
          </w:tcPr>
          <w:p>
            <w:pPr>
              <w:pStyle w:val="TableContents"/>
              <w:bidi w:val="0"/>
              <w:spacing w:before="0" w:after="283"/>
              <w:jc w:val="left"/>
              <w:rPr/>
            </w:pPr>
            <w:r>
              <w:rPr/>
              <w:t> </w:t>
            </w:r>
          </w:p>
        </w:tc>
        <w:tc>
          <w:tcPr>
            <w:tcW w:w="23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58"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158" w:type="dxa"/>
            <w:tcBorders/>
            <w:shd w:fill="FFFFFF" w:val="clear"/>
            <w:vAlign w:val="center"/>
          </w:tcPr>
          <w:p>
            <w:pPr>
              <w:pStyle w:val="TableContents"/>
              <w:bidi w:val="0"/>
              <w:spacing w:before="0" w:after="283"/>
              <w:jc w:val="left"/>
              <w:rPr/>
            </w:pPr>
            <w:r>
              <w:rPr/>
              <w:t> </w:t>
            </w:r>
          </w:p>
        </w:tc>
        <w:tc>
          <w:tcPr>
            <w:tcW w:w="99" w:type="dxa"/>
            <w:tcBorders/>
            <w:shd w:fill="FFFFFF" w:val="clear"/>
            <w:vAlign w:val="center"/>
          </w:tcPr>
          <w:p>
            <w:pPr>
              <w:pStyle w:val="TableContents"/>
              <w:bidi w:val="0"/>
              <w:spacing w:before="0" w:after="283"/>
              <w:jc w:val="left"/>
              <w:rPr/>
            </w:pPr>
            <w:r>
              <w:rPr/>
              <w:t> </w:t>
            </w:r>
          </w:p>
        </w:tc>
        <w:tc>
          <w:tcPr>
            <w:tcW w:w="23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9"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88" w:type="dxa"/>
            <w:tcBorders>
              <w:bottom w:val="single" w:sz="8" w:space="0" w:color="000000"/>
            </w:tcBorders>
            <w:shd w:fill="FFFFFF" w:val="clear"/>
            <w:tcMar>
              <w:bottom w:w="28" w:type="dxa"/>
            </w:tcMar>
            <w:vAlign w:val="center"/>
          </w:tcPr>
          <w:p>
            <w:pPr>
              <w:pStyle w:val="TableContents"/>
              <w:bidi w:val="0"/>
              <w:spacing w:before="0" w:after="283"/>
              <w:jc w:val="right"/>
              <w:rPr/>
            </w:pPr>
            <w:r>
              <w:rPr/>
              <w:t>(16</w:t>
            </w:r>
          </w:p>
        </w:tc>
        <w:tc>
          <w:tcPr>
            <w:tcW w:w="149" w:type="dxa"/>
            <w:tcBorders/>
            <w:shd w:fill="FFFFFF" w:val="clear"/>
            <w:vAlign w:val="center"/>
          </w:tcPr>
          <w:p>
            <w:pPr>
              <w:pStyle w:val="TableContents"/>
              <w:bidi w:val="0"/>
              <w:spacing w:before="0" w:after="283"/>
              <w:jc w:val="left"/>
              <w:rPr/>
            </w:pPr>
            <w:r>
              <w:rPr/>
              <w:t>)</w:t>
            </w:r>
          </w:p>
        </w:tc>
        <w:tc>
          <w:tcPr>
            <w:tcW w:w="94" w:type="dxa"/>
            <w:tcBorders/>
            <w:shd w:fill="FFFFFF" w:val="clear"/>
            <w:vAlign w:val="center"/>
          </w:tcPr>
          <w:p>
            <w:pPr>
              <w:pStyle w:val="TableContents"/>
              <w:bidi w:val="0"/>
              <w:spacing w:before="0" w:after="283"/>
              <w:jc w:val="left"/>
              <w:rPr/>
            </w:pPr>
            <w:r>
              <w:rPr/>
              <w:t> </w:t>
            </w:r>
          </w:p>
        </w:tc>
        <w:tc>
          <w:tcPr>
            <w:tcW w:w="21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88" w:type="dxa"/>
            <w:tcBorders>
              <w:bottom w:val="single" w:sz="8" w:space="0" w:color="000000"/>
            </w:tcBorders>
            <w:shd w:fill="FFFFFF" w:val="clear"/>
            <w:tcMar>
              <w:bottom w:w="28" w:type="dxa"/>
            </w:tcMar>
            <w:vAlign w:val="center"/>
          </w:tcPr>
          <w:p>
            <w:pPr>
              <w:pStyle w:val="TableContents"/>
              <w:bidi w:val="0"/>
              <w:spacing w:before="0" w:after="283"/>
              <w:jc w:val="right"/>
              <w:rPr/>
            </w:pPr>
            <w:r>
              <w:rPr/>
              <w:t>9</w:t>
            </w:r>
          </w:p>
        </w:tc>
        <w:tc>
          <w:tcPr>
            <w:tcW w:w="117" w:type="dxa"/>
            <w:tcBorders/>
            <w:shd w:fill="FFFFFF" w:val="clear"/>
            <w:vAlign w:val="center"/>
          </w:tcPr>
          <w:p>
            <w:pPr>
              <w:pStyle w:val="TableContents"/>
              <w:bidi w:val="0"/>
              <w:spacing w:before="0" w:after="283"/>
              <w:jc w:val="left"/>
              <w:rPr/>
            </w:pPr>
            <w:r>
              <w:rPr/>
              <w:t> </w:t>
            </w:r>
            <w:bookmarkStart w:id="1194" w:name="xdx_40D_eus-gaap--NetIncomeLoss_iT_pn3n3"/>
            <w:bookmarkEnd w:id="1194"/>
          </w:p>
        </w:tc>
      </w:tr>
      <w:tr>
        <w:trPr/>
        <w:tc>
          <w:tcPr>
            <w:tcW w:w="3776" w:type="dxa"/>
            <w:tcBorders/>
            <w:shd w:fill="CCEEFF" w:val="clear"/>
            <w:vAlign w:val="center"/>
          </w:tcPr>
          <w:p>
            <w:pPr>
              <w:pStyle w:val="TableContents"/>
              <w:bidi w:val="0"/>
              <w:spacing w:before="0" w:after="283"/>
              <w:jc w:val="left"/>
              <w:rPr/>
            </w:pPr>
            <w:r>
              <w:rPr/>
              <w:t>Net loss attributable to Streamex Corp.</w:t>
            </w:r>
          </w:p>
        </w:tc>
        <w:tc>
          <w:tcPr>
            <w:tcW w:w="60" w:type="dxa"/>
            <w:tcBorders/>
            <w:shd w:fill="CCEEFF" w:val="clear"/>
            <w:vAlign w:val="center"/>
          </w:tcPr>
          <w:p>
            <w:pPr>
              <w:pStyle w:val="TableContents"/>
              <w:bidi w:val="0"/>
              <w:spacing w:before="0" w:after="283"/>
              <w:jc w:val="left"/>
              <w:rPr/>
            </w:pPr>
            <w:r>
              <w:rPr/>
              <w:t> </w:t>
            </w:r>
          </w:p>
        </w:tc>
        <w:tc>
          <w:tcPr>
            <w:tcW w:w="233"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258" w:type="dxa"/>
            <w:tcBorders>
              <w:bottom w:val="double" w:sz="6" w:space="0" w:color="000000"/>
            </w:tcBorders>
            <w:shd w:fill="CCEEFF" w:val="clear"/>
            <w:tcMar>
              <w:bottom w:w="28" w:type="dxa"/>
            </w:tcMar>
            <w:vAlign w:val="center"/>
          </w:tcPr>
          <w:p>
            <w:pPr>
              <w:pStyle w:val="TableContents"/>
              <w:bidi w:val="0"/>
              <w:spacing w:before="0" w:after="283"/>
              <w:jc w:val="right"/>
              <w:rPr/>
            </w:pPr>
            <w:r>
              <w:rPr/>
              <w:t>(15,584</w:t>
            </w:r>
          </w:p>
        </w:tc>
        <w:tc>
          <w:tcPr>
            <w:tcW w:w="158" w:type="dxa"/>
            <w:tcBorders/>
            <w:shd w:fill="CCEEFF" w:val="clear"/>
            <w:vAlign w:val="center"/>
          </w:tcPr>
          <w:p>
            <w:pPr>
              <w:pStyle w:val="TableContents"/>
              <w:bidi w:val="0"/>
              <w:spacing w:before="0" w:after="283"/>
              <w:jc w:val="left"/>
              <w:rPr/>
            </w:pPr>
            <w:r>
              <w:rPr/>
              <w:t>)</w:t>
            </w:r>
          </w:p>
        </w:tc>
        <w:tc>
          <w:tcPr>
            <w:tcW w:w="99" w:type="dxa"/>
            <w:tcBorders/>
            <w:shd w:fill="CCEEFF" w:val="clear"/>
            <w:vAlign w:val="center"/>
          </w:tcPr>
          <w:p>
            <w:pPr>
              <w:pStyle w:val="TableContents"/>
              <w:bidi w:val="0"/>
              <w:spacing w:before="0" w:after="283"/>
              <w:jc w:val="left"/>
              <w:rPr/>
            </w:pPr>
            <w:r>
              <w:rPr/>
              <w:t> </w:t>
            </w:r>
          </w:p>
        </w:tc>
        <w:tc>
          <w:tcPr>
            <w:tcW w:w="233"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059" w:type="dxa"/>
            <w:tcBorders>
              <w:bottom w:val="double" w:sz="6" w:space="0" w:color="000000"/>
            </w:tcBorders>
            <w:shd w:fill="CCEEFF" w:val="clear"/>
            <w:tcMar>
              <w:bottom w:w="28" w:type="dxa"/>
            </w:tcMar>
            <w:vAlign w:val="center"/>
          </w:tcPr>
          <w:p>
            <w:pPr>
              <w:pStyle w:val="TableContents"/>
              <w:bidi w:val="0"/>
              <w:spacing w:before="0" w:after="283"/>
              <w:jc w:val="right"/>
              <w:rPr/>
            </w:pPr>
            <w:r>
              <w:rPr/>
              <w:t>(1,914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19"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88" w:type="dxa"/>
            <w:tcBorders>
              <w:bottom w:val="double" w:sz="6" w:space="0" w:color="000000"/>
            </w:tcBorders>
            <w:shd w:fill="CCEEFF" w:val="clear"/>
            <w:tcMar>
              <w:bottom w:w="28" w:type="dxa"/>
            </w:tcMar>
            <w:vAlign w:val="center"/>
          </w:tcPr>
          <w:p>
            <w:pPr>
              <w:pStyle w:val="TableContents"/>
              <w:bidi w:val="0"/>
              <w:spacing w:before="0" w:after="283"/>
              <w:jc w:val="right"/>
              <w:rPr/>
            </w:pPr>
            <w:r>
              <w:rPr/>
              <w:t>(38,767</w:t>
            </w:r>
          </w:p>
        </w:tc>
        <w:tc>
          <w:tcPr>
            <w:tcW w:w="149" w:type="dxa"/>
            <w:tcBorders/>
            <w:shd w:fill="CCEEFF" w:val="clear"/>
            <w:vAlign w:val="center"/>
          </w:tcPr>
          <w:p>
            <w:pPr>
              <w:pStyle w:val="TableContents"/>
              <w:bidi w:val="0"/>
              <w:spacing w:before="0" w:after="283"/>
              <w:jc w:val="left"/>
              <w:rPr/>
            </w:pPr>
            <w:r>
              <w:rPr/>
              <w:t>)</w:t>
            </w:r>
          </w:p>
        </w:tc>
        <w:tc>
          <w:tcPr>
            <w:tcW w:w="94" w:type="dxa"/>
            <w:tcBorders/>
            <w:shd w:fill="CCEEFF" w:val="clear"/>
            <w:vAlign w:val="center"/>
          </w:tcPr>
          <w:p>
            <w:pPr>
              <w:pStyle w:val="TableContents"/>
              <w:bidi w:val="0"/>
              <w:spacing w:before="0" w:after="283"/>
              <w:jc w:val="left"/>
              <w:rPr/>
            </w:pPr>
            <w:r>
              <w:rPr/>
              <w:t> </w:t>
            </w:r>
          </w:p>
        </w:tc>
        <w:tc>
          <w:tcPr>
            <w:tcW w:w="219"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88" w:type="dxa"/>
            <w:tcBorders>
              <w:bottom w:val="double" w:sz="6" w:space="0" w:color="000000"/>
            </w:tcBorders>
            <w:shd w:fill="CCEEFF" w:val="clear"/>
            <w:tcMar>
              <w:bottom w:w="28" w:type="dxa"/>
            </w:tcMar>
            <w:vAlign w:val="center"/>
          </w:tcPr>
          <w:p>
            <w:pPr>
              <w:pStyle w:val="TableContents"/>
              <w:bidi w:val="0"/>
              <w:spacing w:before="0" w:after="283"/>
              <w:jc w:val="right"/>
              <w:rPr/>
            </w:pPr>
            <w:r>
              <w:rPr/>
              <w:t>(9,231</w:t>
            </w:r>
          </w:p>
        </w:tc>
        <w:tc>
          <w:tcPr>
            <w:tcW w:w="117"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bookmarkStart w:id="1195" w:name="xdx_8AE_zokPK7U5K3U8"/>
      <w:bookmarkEnd w:id="1195"/>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30</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STREAMEX CORP.</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THE CONDENSED CONSOLIDATED FINANCIAL STATEMENTS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SEPTEMBER 30, 2025 </w:t>
      </w:r>
      <w:r>
        <w:rPr>
          <w:rFonts w:ascii="Times New Roman;Times;Serif" w:hAnsi="Times New Roman;Times;Serif"/>
          <w:b/>
          <w:i/>
          <w:caps w:val="false"/>
          <w:smallCaps w:val="false"/>
          <w:sz w:val="20"/>
        </w:rPr>
        <w:t>(</w:t>
      </w:r>
      <w:r>
        <w:rPr>
          <w:rFonts w:ascii="Times New Roman;Times;Serif" w:hAnsi="Times New Roman;Times;Serif"/>
          <w:b/>
          <w:i w:val="false"/>
          <w:caps w:val="false"/>
          <w:smallCaps w:val="false"/>
          <w:sz w:val="20"/>
        </w:rPr>
        <w:t>Unaudited</w:t>
      </w:r>
      <w:r>
        <w:rPr>
          <w:rFonts w:ascii="Times New Roman;Times;Serif" w:hAnsi="Times New Roman;Times;Serif"/>
          <w:b/>
          <w:i/>
          <w:caps w:val="false"/>
          <w:smallCaps w:val="false"/>
          <w:sz w:val="20"/>
        </w:rPr>
        <w: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1196" w:name="xdx_801_eus-gaap--RelatedPartyTransactio"/>
      <w:bookmarkEnd w:id="1196"/>
      <w:r>
        <w:rPr>
          <w:rFonts w:ascii="Times New Roman;Times;Serif" w:hAnsi="Times New Roman;Times;Serif"/>
          <w:b/>
          <w:i w:val="false"/>
          <w:caps w:val="false"/>
          <w:smallCaps w:val="false"/>
          <w:sz w:val="20"/>
        </w:rPr>
        <w:t>NOTE 17</w:t>
      </w:r>
      <w:r>
        <w:rPr>
          <w:rFonts w:ascii="Times New Roman;Times;Serif" w:hAnsi="Times New Roman;Times;Serif"/>
          <w:b w:val="false"/>
          <w:i w:val="false"/>
          <w:caps w:val="false"/>
          <w:smallCaps w:val="false"/>
          <w:sz w:val="20"/>
        </w:rPr>
        <w:t xml:space="preserve"> – </w:t>
      </w:r>
      <w:bookmarkStart w:id="1197" w:name="xdx_82F_zhGOp623aEV9"/>
      <w:bookmarkEnd w:id="1197"/>
      <w:r>
        <w:rPr>
          <w:rFonts w:ascii="Times New Roman;Times;Serif" w:hAnsi="Times New Roman;Times;Serif"/>
          <w:b/>
          <w:i w:val="false"/>
          <w:caps w:val="false"/>
          <w:smallCaps w:val="false"/>
          <w:sz w:val="20"/>
        </w:rPr>
        <w:t>RELATED PARTY TRANSACTIONS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Accounts payable and accrued expenses as of September 30, 2025 include approximately $</w:t>
      </w:r>
      <w:bookmarkStart w:id="1198" w:name="xdx_906_eus-gaap--OtherLiabilitiesCurren"/>
      <w:bookmarkEnd w:id="1198"/>
      <w:r>
        <w:rPr>
          <w:rFonts w:ascii="Times New Roman;Times;Serif" w:hAnsi="Times New Roman;Times;Serif"/>
          <w:b w:val="false"/>
          <w:i w:val="false"/>
          <w:caps w:val="false"/>
          <w:smallCaps w:val="false"/>
          <w:sz w:val="20"/>
        </w:rPr>
        <w:t>499 thousand due to related parties, compared to $</w:t>
      </w:r>
      <w:bookmarkStart w:id="1199" w:name="xdx_902_eus-gaap--OtherLiabilitiesCurren"/>
      <w:bookmarkEnd w:id="1199"/>
      <w:r>
        <w:rPr>
          <w:rFonts w:ascii="Times New Roman;Times;Serif" w:hAnsi="Times New Roman;Times;Serif"/>
          <w:b w:val="false"/>
          <w:i w:val="false"/>
          <w:caps w:val="false"/>
          <w:smallCaps w:val="false"/>
          <w:sz w:val="20"/>
        </w:rPr>
        <w:t>19 thousand as of December 31, 2024. These amounts primarily relate to executives and board compensation, severance, and reimbursements. Included in the due from related party balance as of September 30, 2025 is $</w:t>
      </w:r>
      <w:bookmarkStart w:id="1200" w:name="xdx_90A_eus-gaap--OtherReceivables_iI_pn"/>
      <w:bookmarkEnd w:id="1200"/>
      <w:r>
        <w:rPr>
          <w:rFonts w:ascii="Times New Roman;Times;Serif" w:hAnsi="Times New Roman;Times;Serif"/>
          <w:b w:val="false"/>
          <w:i w:val="false"/>
          <w:caps w:val="false"/>
          <w:smallCaps w:val="false"/>
          <w:sz w:val="20"/>
        </w:rPr>
        <w:t>11 thousand due from Henry McPhie, the Company’s new Chief Executive Officer and Board of 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During the nine months ended September 30, 2025, the Company issued an aggregate of </w:t>
      </w:r>
      <w:bookmarkStart w:id="1201" w:name="xdx_90A_eus-gaap--StockIssuedDuringPerio"/>
      <w:bookmarkEnd w:id="1201"/>
      <w:r>
        <w:rPr>
          <w:rFonts w:ascii="Times New Roman;Times;Serif" w:hAnsi="Times New Roman;Times;Serif"/>
          <w:b w:val="false"/>
          <w:i w:val="false"/>
          <w:caps w:val="false"/>
          <w:smallCaps w:val="false"/>
          <w:sz w:val="20"/>
        </w:rPr>
        <w:t>235,000 shares of its common stock to Mr. Groenewald, the Interim Chief Financial Officer, with a total grant-date fair value of $</w:t>
      </w:r>
      <w:bookmarkStart w:id="1202" w:name="xdx_907_eus-gaap--StockIssuedDuringPerio"/>
      <w:bookmarkEnd w:id="1202"/>
      <w:r>
        <w:rPr>
          <w:rFonts w:ascii="Times New Roman;Times;Serif" w:hAnsi="Times New Roman;Times;Serif"/>
          <w:b w:val="false"/>
          <w:i w:val="false"/>
          <w:caps w:val="false"/>
          <w:smallCaps w:val="false"/>
          <w:sz w:val="20"/>
        </w:rPr>
        <w:t>0.95 million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During the nine months ended September 30, 2025, the Company issued </w:t>
      </w:r>
      <w:bookmarkStart w:id="1203" w:name="xdx_903_eus-gaap--StockIssuedDuringPerio"/>
      <w:bookmarkEnd w:id="1203"/>
      <w:r>
        <w:rPr>
          <w:rFonts w:ascii="Times New Roman;Times;Serif" w:hAnsi="Times New Roman;Times;Serif"/>
          <w:b w:val="false"/>
          <w:i w:val="false"/>
          <w:caps w:val="false"/>
          <w:smallCaps w:val="false"/>
          <w:sz w:val="20"/>
        </w:rPr>
        <w:t>2,198,345 shares of its common stock to Mr. Amato, the Chief Executive Officer, with an aggregate grant date fair value of $</w:t>
      </w:r>
      <w:bookmarkStart w:id="1204" w:name="xdx_90D_eus-gaap--StockIssuedDuringPerio"/>
      <w:bookmarkEnd w:id="1204"/>
      <w:r>
        <w:rPr>
          <w:rFonts w:ascii="Times New Roman;Times;Serif" w:hAnsi="Times New Roman;Times;Serif"/>
          <w:b w:val="false"/>
          <w:i w:val="false"/>
          <w:caps w:val="false"/>
          <w:smallCaps w:val="false"/>
          <w:sz w:val="20"/>
        </w:rPr>
        <w:t>5.9 million. The issuances were primarily made in connection with Mr. Amato’s resignation pursuant to the terms of the Purchase Agreement dated May 23, 2025, and the First Amendment to his Executive Employment Agreement. Under the amendment, all previously granted equity awards — including vested and unvested stock options, RSUs, PSUs, and other equity-based awards — were accelerated and deemed fully vested and nonforfeitable as of the Effective Date of the transaction. This treatment was contractually agreed upon as part of the severance provisions associated with Mr. Amato’s resignation in connection with the Company’s acquisition of Streamex Exchange Corporation.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1205" w:name="xdx_80C_eus-gaap--SubsequentEventsTextBl"/>
      <w:bookmarkEnd w:id="1205"/>
      <w:r>
        <w:rPr>
          <w:rFonts w:ascii="Times New Roman;Times;Serif" w:hAnsi="Times New Roman;Times;Serif"/>
          <w:b/>
          <w:i w:val="false"/>
          <w:caps w:val="false"/>
          <w:smallCaps w:val="false"/>
          <w:sz w:val="20"/>
        </w:rPr>
        <w:t>NOTE 18</w:t>
      </w:r>
      <w:r>
        <w:rPr>
          <w:rFonts w:ascii="Times New Roman;Times;Serif" w:hAnsi="Times New Roman;Times;Serif"/>
          <w:b w:val="false"/>
          <w:i w:val="false"/>
          <w:caps w:val="false"/>
          <w:smallCaps w:val="false"/>
          <w:sz w:val="20"/>
        </w:rPr>
        <w:t xml:space="preserve"> – </w:t>
      </w:r>
      <w:bookmarkStart w:id="1206" w:name="xdx_826_zoMKlvtFqJc2"/>
      <w:bookmarkEnd w:id="1206"/>
      <w:r>
        <w:rPr>
          <w:rFonts w:ascii="Times New Roman;Times;Serif" w:hAnsi="Times New Roman;Times;Serif"/>
          <w:b/>
          <w:i w:val="false"/>
          <w:caps w:val="false"/>
          <w:smallCaps w:val="false"/>
          <w:sz w:val="20"/>
        </w:rPr>
        <w:t>SUBSEQUENT EVENTS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evaluated subsequent events from the balance sheet date through the date on which these unaudited condensed financial statements were issued. Other than as described in the notes above, the Company did not have any material subsequent events that impacted its unaudited condensed financial statements or disclosures.</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Amendments and First Closing to Senior Secured Convertible Debenture</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28, 2025, Streamex Corp. entered into Amendment No. 2 to the Secured Convertible Debenture Purchase Agreement with Yorkville. The amendment revised certain terms of the original agreement, including:</w:t>
      </w:r>
    </w:p>
    <w:p>
      <w:pPr>
        <w:pStyle w:val="TextBody"/>
        <w:shd w:fill="FFFFFF" w:val="clear"/>
        <w:bidi w:val="0"/>
        <w:spacing w:before="0" w:after="0"/>
        <w:ind w:left="0" w:right="0" w:hanging="0"/>
        <w:jc w:val="both"/>
        <w:rPr>
          <w:caps w:val="false"/>
          <w:smallCaps w:val="false"/>
        </w:rPr>
      </w:pPr>
      <w:r>
        <w:rPr>
          <w:caps w:val="false"/>
          <w:smallCaps w:val="false"/>
        </w:rPr>
        <w:t> </w:t>
      </w:r>
    </w:p>
    <w:tbl>
      <w:tblPr>
        <w:tblW w:w="10205" w:type="dxa"/>
        <w:jc w:val="left"/>
        <w:tblInd w:w="0" w:type="dxa"/>
        <w:shd w:fill="FFFFFF" w:val="clear"/>
        <w:tblLayout w:type="fixed"/>
        <w:tblCellMar>
          <w:top w:w="0" w:type="dxa"/>
          <w:left w:w="0" w:type="dxa"/>
          <w:bottom w:w="0" w:type="dxa"/>
          <w:right w:w="0" w:type="dxa"/>
        </w:tblCellMar>
      </w:tblPr>
      <w:tblGrid>
        <w:gridCol w:w="38"/>
        <w:gridCol w:w="170"/>
        <w:gridCol w:w="9997"/>
      </w:tblGrid>
      <w:tr>
        <w:trPr/>
        <w:tc>
          <w:tcPr>
            <w:tcW w:w="38" w:type="dxa"/>
            <w:tcBorders/>
            <w:shd w:fill="FFFFFF" w:val="clear"/>
            <w:vAlign w:val="center"/>
          </w:tcPr>
          <w:p>
            <w:pPr>
              <w:pStyle w:val="TableContents"/>
              <w:bidi w:val="0"/>
              <w:spacing w:before="0" w:after="283"/>
              <w:jc w:val="left"/>
              <w:rPr>
                <w:sz w:val="4"/>
                <w:szCs w:val="4"/>
              </w:rPr>
            </w:pPr>
            <w:r>
              <w:rPr>
                <w:sz w:val="4"/>
                <w:szCs w:val="4"/>
              </w:rPr>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9997"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Requiring that $</w:t>
            </w:r>
            <w:bookmarkStart w:id="1207" w:name="xdx_909_eus-gaap--ProceedsFromIssuanceOf"/>
            <w:bookmarkEnd w:id="1207"/>
            <w:r>
              <w:rPr>
                <w:rFonts w:ascii="Times New Roman;Times;Serif" w:hAnsi="Times New Roman;Times;Serif"/>
                <w:b w:val="false"/>
                <w:i w:val="false"/>
                <w:caps w:val="false"/>
                <w:smallCaps w:val="false"/>
                <w:sz w:val="20"/>
              </w:rPr>
              <w:t xml:space="preserve">25.1 million of aggregate proceeds from the first and second closings be allocated to purchase Allocated Vaulted Gold Bullion as collateral, consisting of: </w:t>
            </w:r>
          </w:p>
        </w:tc>
      </w:tr>
    </w:tbl>
    <w:tbl>
      <w:tblPr>
        <w:tblW w:w="3243" w:type="dxa"/>
        <w:jc w:val="left"/>
        <w:tblInd w:w="0" w:type="dxa"/>
        <w:shd w:fill="FFFFFF" w:val="clear"/>
        <w:tblLayout w:type="fixed"/>
        <w:tblCellMar>
          <w:top w:w="0" w:type="dxa"/>
          <w:left w:w="0" w:type="dxa"/>
          <w:bottom w:w="0" w:type="dxa"/>
          <w:right w:w="0" w:type="dxa"/>
        </w:tblCellMar>
      </w:tblPr>
      <w:tblGrid>
        <w:gridCol w:w="38"/>
        <w:gridCol w:w="170"/>
        <w:gridCol w:w="3035"/>
      </w:tblGrid>
      <w:tr>
        <w:trPr/>
        <w:tc>
          <w:tcPr>
            <w:tcW w:w="38" w:type="dxa"/>
            <w:tcBorders/>
            <w:shd w:fill="FFFFFF" w:val="clear"/>
            <w:vAlign w:val="center"/>
          </w:tcPr>
          <w:p>
            <w:pPr>
              <w:pStyle w:val="TableContents"/>
              <w:bidi w:val="0"/>
              <w:spacing w:before="0" w:after="283"/>
              <w:jc w:val="left"/>
              <w:rPr>
                <w:sz w:val="4"/>
                <w:szCs w:val="4"/>
              </w:rPr>
            </w:pPr>
            <w:r>
              <w:rPr>
                <w:sz w:val="4"/>
                <w:szCs w:val="4"/>
              </w:rPr>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303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1208" w:name="xdx_902_eus-gaap--ProceedsFromIssuanceOf"/>
            <w:bookmarkEnd w:id="1208"/>
            <w:r>
              <w:rPr>
                <w:rFonts w:ascii="Times New Roman;Times;Serif" w:hAnsi="Times New Roman;Times;Serif"/>
                <w:b w:val="false"/>
                <w:i w:val="false"/>
                <w:caps w:val="false"/>
                <w:smallCaps w:val="false"/>
                <w:sz w:val="20"/>
              </w:rPr>
              <w:t>12.6 million at the first closing, and</w:t>
            </w:r>
          </w:p>
        </w:tc>
      </w:tr>
    </w:tbl>
    <w:tbl>
      <w:tblPr>
        <w:tblW w:w="3153" w:type="dxa"/>
        <w:jc w:val="left"/>
        <w:tblInd w:w="0" w:type="dxa"/>
        <w:shd w:fill="FFFFFF" w:val="clear"/>
        <w:tblLayout w:type="fixed"/>
        <w:tblCellMar>
          <w:top w:w="0" w:type="dxa"/>
          <w:left w:w="0" w:type="dxa"/>
          <w:bottom w:w="0" w:type="dxa"/>
          <w:right w:w="0" w:type="dxa"/>
        </w:tblCellMar>
      </w:tblPr>
      <w:tblGrid>
        <w:gridCol w:w="38"/>
        <w:gridCol w:w="170"/>
        <w:gridCol w:w="2945"/>
      </w:tblGrid>
      <w:tr>
        <w:trPr/>
        <w:tc>
          <w:tcPr>
            <w:tcW w:w="38" w:type="dxa"/>
            <w:tcBorders/>
            <w:shd w:fill="FFFFFF" w:val="clear"/>
            <w:vAlign w:val="center"/>
          </w:tcPr>
          <w:p>
            <w:pPr>
              <w:pStyle w:val="TableContents"/>
              <w:bidi w:val="0"/>
              <w:spacing w:before="0" w:after="283"/>
              <w:jc w:val="left"/>
              <w:rPr>
                <w:sz w:val="4"/>
                <w:szCs w:val="4"/>
              </w:rPr>
            </w:pPr>
            <w:r>
              <w:rPr>
                <w:sz w:val="4"/>
                <w:szCs w:val="4"/>
              </w:rPr>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294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1209" w:name="xdx_901_eus-gaap--ProceedsFromIssuanceOf"/>
            <w:bookmarkEnd w:id="1209"/>
            <w:r>
              <w:rPr>
                <w:rFonts w:ascii="Times New Roman;Times;Serif" w:hAnsi="Times New Roman;Times;Serif"/>
                <w:b w:val="false"/>
                <w:i w:val="false"/>
                <w:caps w:val="false"/>
                <w:smallCaps w:val="false"/>
                <w:sz w:val="20"/>
              </w:rPr>
              <w:t>12.5 million at the second closing.</w:t>
            </w:r>
          </w:p>
        </w:tc>
      </w:tr>
    </w:tbl>
    <w:tbl>
      <w:tblPr>
        <w:tblW w:w="6438" w:type="dxa"/>
        <w:jc w:val="left"/>
        <w:tblInd w:w="0" w:type="dxa"/>
        <w:shd w:fill="FFFFFF" w:val="clear"/>
        <w:tblLayout w:type="fixed"/>
        <w:tblCellMar>
          <w:top w:w="0" w:type="dxa"/>
          <w:left w:w="0" w:type="dxa"/>
          <w:bottom w:w="0" w:type="dxa"/>
          <w:right w:w="0" w:type="dxa"/>
        </w:tblCellMar>
      </w:tblPr>
      <w:tblGrid>
        <w:gridCol w:w="38"/>
        <w:gridCol w:w="170"/>
        <w:gridCol w:w="6230"/>
      </w:tblGrid>
      <w:tr>
        <w:trPr/>
        <w:tc>
          <w:tcPr>
            <w:tcW w:w="38" w:type="dxa"/>
            <w:tcBorders/>
            <w:shd w:fill="FFFFFF" w:val="clear"/>
            <w:vAlign w:val="center"/>
          </w:tcPr>
          <w:p>
            <w:pPr>
              <w:pStyle w:val="TableContents"/>
              <w:bidi w:val="0"/>
              <w:spacing w:before="0" w:after="283"/>
              <w:jc w:val="left"/>
              <w:rPr>
                <w:sz w:val="4"/>
                <w:szCs w:val="4"/>
              </w:rPr>
            </w:pPr>
            <w:r>
              <w:rPr>
                <w:sz w:val="4"/>
                <w:szCs w:val="4"/>
              </w:rPr>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623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Confirming formation of special purpose entities for collateral arrangements.</w:t>
            </w:r>
          </w:p>
        </w:tc>
      </w:tr>
    </w:tbl>
    <w:tbl>
      <w:tblPr>
        <w:tblW w:w="6618" w:type="dxa"/>
        <w:jc w:val="left"/>
        <w:tblInd w:w="0" w:type="dxa"/>
        <w:shd w:fill="FFFFFF" w:val="clear"/>
        <w:tblLayout w:type="fixed"/>
        <w:tblCellMar>
          <w:top w:w="0" w:type="dxa"/>
          <w:left w:w="0" w:type="dxa"/>
          <w:bottom w:w="0" w:type="dxa"/>
          <w:right w:w="0" w:type="dxa"/>
        </w:tblCellMar>
      </w:tblPr>
      <w:tblGrid>
        <w:gridCol w:w="38"/>
        <w:gridCol w:w="170"/>
        <w:gridCol w:w="6410"/>
      </w:tblGrid>
      <w:tr>
        <w:trPr/>
        <w:tc>
          <w:tcPr>
            <w:tcW w:w="38" w:type="dxa"/>
            <w:tcBorders/>
            <w:shd w:fill="FFFFFF" w:val="clear"/>
            <w:vAlign w:val="center"/>
          </w:tcPr>
          <w:p>
            <w:pPr>
              <w:pStyle w:val="TableContents"/>
              <w:bidi w:val="0"/>
              <w:spacing w:before="0" w:after="283"/>
              <w:jc w:val="left"/>
              <w:rPr>
                <w:sz w:val="4"/>
                <w:szCs w:val="4"/>
              </w:rPr>
            </w:pPr>
            <w:r>
              <w:rPr>
                <w:sz w:val="4"/>
                <w:szCs w:val="4"/>
              </w:rPr>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641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Updating closing conditions and related security documentation requirements.</w:t>
            </w:r>
          </w:p>
        </w:tc>
      </w:tr>
    </w:tbl>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amendment did not change the aggregate commitment of up to $</w:t>
      </w:r>
      <w:bookmarkStart w:id="1210" w:name="xdx_906_eus-gaap--OtherCommitment_iI_pn6"/>
      <w:bookmarkEnd w:id="1210"/>
      <w:r>
        <w:rPr>
          <w:rFonts w:ascii="Times New Roman;Times;Serif" w:hAnsi="Times New Roman;Times;Serif"/>
          <w:b w:val="false"/>
          <w:i w:val="false"/>
          <w:caps w:val="false"/>
          <w:smallCaps w:val="false"/>
          <w:sz w:val="20"/>
        </w:rPr>
        <w:t>100 million in secured convertible debentures but modified certain mechanics for funding and collateral compliance. </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4, 2025, the Company entered into Amendment No. 3 to its Secured Convertible Debenture Purchase Agreement with Yorkville, further updating closing conditions and related documentation requirements. No material economic terms were amended.</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the same date (the “First Closing Date”), the Company issued a secured convertible debenture to Yorkville in the principal amount of $</w:t>
      </w:r>
      <w:bookmarkStart w:id="1211" w:name="xdx_90B_eus-gaap--DebtInstrumentFaceAmou"/>
      <w:bookmarkEnd w:id="1211"/>
      <w:r>
        <w:rPr>
          <w:rFonts w:ascii="Times New Roman;Times;Serif" w:hAnsi="Times New Roman;Times;Serif"/>
          <w:b w:val="false"/>
          <w:i w:val="false"/>
          <w:caps w:val="false"/>
          <w:smallCaps w:val="false"/>
          <w:sz w:val="20"/>
        </w:rPr>
        <w:t xml:space="preserve">25,000,000 (the “First Convertible Debenture”). The First Convertible Debenture matures on </w:t>
      </w:r>
      <w:bookmarkStart w:id="1212" w:name="xdx_90D_eus-gaap--DebtInstrumentMaturity"/>
      <w:bookmarkEnd w:id="1212"/>
      <w:r>
        <w:rPr>
          <w:rFonts w:ascii="Times New Roman;Times;Serif" w:hAnsi="Times New Roman;Times;Serif"/>
          <w:b w:val="false"/>
          <w:i w:val="false"/>
          <w:caps w:val="false"/>
          <w:smallCaps w:val="false"/>
          <w:sz w:val="20"/>
        </w:rPr>
        <w:t xml:space="preserve">November 4, 2027, accrues interest at </w:t>
      </w:r>
      <w:bookmarkStart w:id="1213" w:name="xdx_900_eus-gaap--DebtInstrumentInterest"/>
      <w:bookmarkEnd w:id="1213"/>
      <w:r>
        <w:rPr>
          <w:rFonts w:ascii="Times New Roman;Times;Serif" w:hAnsi="Times New Roman;Times;Serif"/>
          <w:b w:val="false"/>
          <w:i w:val="false"/>
          <w:caps w:val="false"/>
          <w:smallCaps w:val="false"/>
          <w:sz w:val="20"/>
        </w:rPr>
        <w:t>4.00% per annum (increasing to 18.00% upon an event of default), and is payable in cash at maturity or earlier upon acceleration or conversion. Interest may be paid in cash or, at the Company’s election, in kind through the issuance of common stock upon conversion.</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conversion price is the lower of (i) $</w:t>
      </w:r>
      <w:bookmarkStart w:id="1214" w:name="xdx_907_eus-gaap--DebtInstrumentConverti"/>
      <w:bookmarkEnd w:id="1214"/>
      <w:r>
        <w:rPr>
          <w:rFonts w:ascii="Times New Roman;Times;Serif" w:hAnsi="Times New Roman;Times;Serif"/>
          <w:b w:val="false"/>
          <w:i w:val="false"/>
          <w:caps w:val="false"/>
          <w:smallCaps w:val="false"/>
          <w:sz w:val="20"/>
        </w:rPr>
        <w:t>6.016 per share (125% of the VWAP on November 3, 2025), subject to a one-time downward-only reset based on the average VWAP over the 30 trading days following effectiveness of the resale registration statement, and (ii) 97.0% of the lowest daily VWAP during the three trading days prior to conversion, subject to a floor price of $</w:t>
      </w:r>
      <w:bookmarkStart w:id="1215" w:name="xdx_909_eus-gaap--DerivativeFloorPrice_i"/>
      <w:bookmarkEnd w:id="1215"/>
      <w:r>
        <w:rPr>
          <w:rFonts w:ascii="Times New Roman;Times;Serif" w:hAnsi="Times New Roman;Times;Serif"/>
          <w:b w:val="false"/>
          <w:i w:val="false"/>
          <w:caps w:val="false"/>
          <w:smallCaps w:val="false"/>
          <w:sz w:val="20"/>
        </w:rPr>
        <w:t>4.00 per share. The debenture includes customary anti-dilution adjustments.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Gross proceeds from the First Convertible Debenture were approximately $</w:t>
      </w:r>
      <w:bookmarkStart w:id="1216" w:name="xdx_908_ecustom--ProceedsFromDebentures_"/>
      <w:bookmarkEnd w:id="1216"/>
      <w:r>
        <w:rPr>
          <w:rFonts w:ascii="Times New Roman;Times;Serif" w:hAnsi="Times New Roman;Times;Serif"/>
          <w:b w:val="false"/>
          <w:i w:val="false"/>
          <w:caps w:val="false"/>
          <w:smallCaps w:val="false"/>
          <w:sz w:val="20"/>
        </w:rPr>
        <w:t>24,000,000, representing 96.0% of the principal amount. The Company allocated $</w:t>
      </w:r>
      <w:bookmarkStart w:id="1217" w:name="xdx_90C_eus-gaap--PaymentsForPurchaseOfO"/>
      <w:bookmarkEnd w:id="1217"/>
      <w:r>
        <w:rPr>
          <w:rFonts w:ascii="Times New Roman;Times;Serif" w:hAnsi="Times New Roman;Times;Serif"/>
          <w:b w:val="false"/>
          <w:i w:val="false"/>
          <w:caps w:val="false"/>
          <w:smallCaps w:val="false"/>
          <w:sz w:val="20"/>
        </w:rPr>
        <w:t>12.6 million of the proceeds toward the purchase of Allocated Vaulted Gold Bullion as collateral, in accordance with Amendment No. 2 to the agreement.</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may prepay the First Convertible Debenture prior to maturity, subject to a 10% premium and a ten-trading-day notice period during which the holder retains conversion rights. The debenture includes customary covenants, default provisions, and rights of the holder, including restrictions on beneficial ownership exceeding 4.99% of outstanding common stock post-conversion.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Yorkville may purchase a second $</w:t>
      </w:r>
      <w:bookmarkStart w:id="1218" w:name="xdx_90C_ecustom--ProceedsFromSecondDeben"/>
      <w:bookmarkEnd w:id="1218"/>
      <w:r>
        <w:rPr>
          <w:rFonts w:ascii="Times New Roman;Times;Serif" w:hAnsi="Times New Roman;Times;Serif"/>
          <w:b w:val="false"/>
          <w:i w:val="false"/>
          <w:caps w:val="false"/>
          <w:smallCaps w:val="false"/>
          <w:sz w:val="20"/>
        </w:rPr>
        <w:t>25,000,000 debenture upon satisfaction of specified conditions and may purchase additional debentures up to $</w:t>
      </w:r>
      <w:bookmarkStart w:id="1219" w:name="xdx_90E_ecustom--ProceedsFromAdditionalD"/>
      <w:bookmarkEnd w:id="1219"/>
      <w:r>
        <w:rPr>
          <w:rFonts w:ascii="Times New Roman;Times;Serif" w:hAnsi="Times New Roman;Times;Serif"/>
          <w:b w:val="false"/>
          <w:i w:val="false"/>
          <w:caps w:val="false"/>
          <w:smallCaps w:val="false"/>
          <w:sz w:val="20"/>
        </w:rPr>
        <w:t>50,000,000 upon mutual agreement. In connection with the first closing on November 4, 2025, the company also entered into a U.S. guaranty agreement, a Canadian guarantee, and a registration rights agreement with Yorkville. Pursuant to the registration rights agreement, the company agreed to register for resale, under the Securities Act of 1933, as amended, the shares of common stock issuable upon conversion of the first convertible debenture.</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Shareholder Approval for Streamex Exchange Proposal </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November 4, 2025, the Company reconvened its Special Meeting of stockholders, which had been partially adjourned solely with respect to Proposal 1 (the “Acquisition Proposal”). Stockholders approved the issuance of approximately </w:t>
      </w:r>
      <w:bookmarkStart w:id="1220" w:name="xdx_90D_eus-gaap--StockIssuedDuringPerio"/>
      <w:bookmarkEnd w:id="1220"/>
      <w:r>
        <w:rPr>
          <w:rFonts w:ascii="Times New Roman;Times;Serif" w:hAnsi="Times New Roman;Times;Serif"/>
          <w:b w:val="false"/>
          <w:i w:val="false"/>
          <w:caps w:val="false"/>
          <w:smallCaps w:val="false"/>
          <w:sz w:val="20"/>
        </w:rPr>
        <w:t>109,070,079 shares of Common Stock, subject to adjustment, and one share of Special Voting Preferred Stock pursuant to the Share Purchase Agreement dated May 23, 2025, as amended, among the Company, its subsidiaries, Streamex Exchange, and its shareholders.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the conversion cap on the Exchangeable Shares issued in connection with the acquisition was removed, enabling holders to convert into Common Stock. The related derivative liability was reclassified to permanent equity as of the approval date. Following this reclassification, the Company’s stockholders’ equity increased above the minimum stockholders’ equity requirement for continued listing on The Nasdaq Capital Market.</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Equity transactions</w:t>
      </w:r>
    </w:p>
    <w:p>
      <w:pPr>
        <w:pStyle w:val="TextBody"/>
        <w:shd w:fill="FFFFFF" w:val="clear"/>
        <w:bidi w:val="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October 2025, the Company granted an aggregate of </w:t>
      </w:r>
      <w:bookmarkStart w:id="1221" w:name="xdx_906_eus-gaap--StockIssuedDuringPerio"/>
      <w:bookmarkEnd w:id="1221"/>
      <w:r>
        <w:rPr>
          <w:rFonts w:ascii="Times New Roman;Times;Serif" w:hAnsi="Times New Roman;Times;Serif"/>
          <w:b w:val="false"/>
          <w:i w:val="false"/>
          <w:caps w:val="false"/>
          <w:smallCaps w:val="false"/>
          <w:sz w:val="20"/>
        </w:rPr>
        <w:t>2,428,399 shares of its common stock in lieu of cash for services to key consultants under the Company’s 2023 Long Term Incentive Plan at a value of $</w:t>
      </w:r>
      <w:bookmarkStart w:id="1222" w:name="xdx_90D_eus-gaap--StockIssuedDuringPerio"/>
      <w:bookmarkEnd w:id="1222"/>
      <w:r>
        <w:rPr>
          <w:rFonts w:ascii="Times New Roman;Times;Serif" w:hAnsi="Times New Roman;Times;Serif"/>
          <w:b w:val="false"/>
          <w:i w:val="false"/>
          <w:caps w:val="false"/>
          <w:smallCaps w:val="false"/>
          <w:sz w:val="20"/>
        </w:rPr>
        <w:t>13,234,823.</w:t>
      </w:r>
    </w:p>
    <w:p>
      <w:pPr>
        <w:pStyle w:val="TextBody"/>
        <w:shd w:fill="FFFFFF" w:val="clear"/>
        <w:bidi w:val="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November 2025, the Company granted </w:t>
      </w:r>
      <w:bookmarkStart w:id="1223" w:name="xdx_904_eus-gaap--StockIssuedDuringPerio"/>
      <w:bookmarkEnd w:id="1223"/>
      <w:r>
        <w:rPr>
          <w:rFonts w:ascii="Times New Roman;Times;Serif" w:hAnsi="Times New Roman;Times;Serif"/>
          <w:b w:val="false"/>
          <w:i w:val="false"/>
          <w:caps w:val="false"/>
          <w:smallCaps w:val="false"/>
          <w:sz w:val="20"/>
        </w:rPr>
        <w:t>425,000 shares of its common stock in lieu of cash for services to a key consultant under the Company’s 2023 Long Term Incentive Plan at a value of $</w:t>
      </w:r>
      <w:bookmarkStart w:id="1224" w:name="xdx_90A_eus-gaap--StockIssuedDuringPerio"/>
      <w:bookmarkEnd w:id="1224"/>
      <w:r>
        <w:rPr>
          <w:rFonts w:ascii="Times New Roman;Times;Serif" w:hAnsi="Times New Roman;Times;Serif"/>
          <w:b w:val="false"/>
          <w:i w:val="false"/>
          <w:caps w:val="false"/>
          <w:smallCaps w:val="false"/>
          <w:sz w:val="20"/>
        </w:rPr>
        <w:t>2,014,500.</w:t>
      </w:r>
    </w:p>
    <w:p>
      <w:pPr>
        <w:pStyle w:val="TextBody"/>
        <w:shd w:fill="FFFFFF" w:val="clear"/>
        <w:bidi w:val="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October 6, 2025, the Company granted </w:t>
      </w:r>
      <w:bookmarkStart w:id="1225" w:name="xdx_904_eus-gaap--StockIssuedDuringPerio"/>
      <w:bookmarkEnd w:id="1225"/>
      <w:r>
        <w:rPr>
          <w:rFonts w:ascii="Times New Roman;Times;Serif" w:hAnsi="Times New Roman;Times;Serif"/>
          <w:b w:val="false"/>
          <w:i w:val="false"/>
          <w:caps w:val="false"/>
          <w:smallCaps w:val="false"/>
          <w:sz w:val="20"/>
        </w:rPr>
        <w:t>2,500,000 restricted stock units to a key consultant under the Company’s 2023 Long Term Incentive Plan in lieu of cash for services. Of these units, 50% (</w:t>
      </w:r>
      <w:bookmarkStart w:id="1226" w:name="xdx_907_eus-gaap--ShareBasedCompensation"/>
      <w:bookmarkEnd w:id="1226"/>
      <w:r>
        <w:rPr>
          <w:rFonts w:ascii="Times New Roman;Times;Serif" w:hAnsi="Times New Roman;Times;Serif"/>
          <w:b w:val="false"/>
          <w:i w:val="false"/>
          <w:caps w:val="false"/>
          <w:smallCaps w:val="false"/>
          <w:sz w:val="20"/>
        </w:rPr>
        <w:t>1,125,000) vested on the grant date, and the remaining 50% (</w:t>
      </w:r>
      <w:bookmarkStart w:id="1227" w:name="xdx_906_eus-gaap--ShareBasedCompensation"/>
      <w:bookmarkEnd w:id="1227"/>
      <w:r>
        <w:rPr>
          <w:rFonts w:ascii="Times New Roman;Times;Serif" w:hAnsi="Times New Roman;Times;Serif"/>
          <w:b w:val="false"/>
          <w:i w:val="false"/>
          <w:caps w:val="false"/>
          <w:smallCaps w:val="false"/>
          <w:sz w:val="20"/>
        </w:rPr>
        <w:t xml:space="preserve">1,125,000) are scheduled to vest two months from the grant date. The </w:t>
      </w:r>
      <w:bookmarkStart w:id="1228" w:name="xdx_90A_eus-gaap--ShareBasedCompensation"/>
      <w:bookmarkEnd w:id="1228"/>
      <w:r>
        <w:rPr>
          <w:rFonts w:ascii="Times New Roman;Times;Serif" w:hAnsi="Times New Roman;Times;Serif"/>
          <w:b w:val="false"/>
          <w:i w:val="false"/>
          <w:caps w:val="false"/>
          <w:smallCaps w:val="false"/>
          <w:sz w:val="20"/>
        </w:rPr>
        <w:t>1,125,000 granted on October 6, 2025 had a value of $</w:t>
      </w:r>
      <w:bookmarkStart w:id="1229" w:name="xdx_90B_eus-gaap--SharebasedCompensation"/>
      <w:bookmarkEnd w:id="1229"/>
      <w:r>
        <w:rPr>
          <w:rFonts w:ascii="Times New Roman;Times;Serif" w:hAnsi="Times New Roman;Times;Serif"/>
          <w:b w:val="false"/>
          <w:i w:val="false"/>
          <w:caps w:val="false"/>
          <w:smallCaps w:val="false"/>
          <w:sz w:val="20"/>
        </w:rPr>
        <w:t>7,098,750.</w:t>
      </w:r>
    </w:p>
    <w:p>
      <w:pPr>
        <w:pStyle w:val="TextBody"/>
        <w:shd w:fill="FFFFFF" w:val="clear"/>
        <w:bidi w:val="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October 6, 2025, the Company granted </w:t>
      </w:r>
      <w:bookmarkStart w:id="1230" w:name="xdx_908_eus-gaap--StockIssuedDuringPerio"/>
      <w:bookmarkEnd w:id="1230"/>
      <w:r>
        <w:rPr>
          <w:rFonts w:ascii="Times New Roman;Times;Serif" w:hAnsi="Times New Roman;Times;Serif"/>
          <w:b w:val="false"/>
          <w:i w:val="false"/>
          <w:caps w:val="false"/>
          <w:smallCaps w:val="false"/>
          <w:sz w:val="20"/>
        </w:rPr>
        <w:t>200,000 restricted stock units to a key consultant under the Company’s 2023 Long Term Incentive Plan in lieu of cash for services. Of these units, 50% (</w:t>
      </w:r>
      <w:bookmarkStart w:id="1231" w:name="xdx_905_eus-gaap--ShareBasedCompensation"/>
      <w:bookmarkEnd w:id="1231"/>
      <w:r>
        <w:rPr>
          <w:rFonts w:ascii="Times New Roman;Times;Serif" w:hAnsi="Times New Roman;Times;Serif"/>
          <w:b w:val="false"/>
          <w:i w:val="false"/>
          <w:caps w:val="false"/>
          <w:smallCaps w:val="false"/>
          <w:sz w:val="20"/>
        </w:rPr>
        <w:t>100,000) vested on the grant date, and the remaining 50% (</w:t>
      </w:r>
      <w:bookmarkStart w:id="1232" w:name="xdx_904_eus-gaap--ShareBasedCompensation"/>
      <w:bookmarkEnd w:id="1232"/>
      <w:r>
        <w:rPr>
          <w:rFonts w:ascii="Times New Roman;Times;Serif" w:hAnsi="Times New Roman;Times;Serif"/>
          <w:b w:val="false"/>
          <w:i w:val="false"/>
          <w:caps w:val="false"/>
          <w:smallCaps w:val="false"/>
          <w:sz w:val="20"/>
        </w:rPr>
        <w:t xml:space="preserve">100,000) are scheduled to vest three months from the grant date. The </w:t>
      </w:r>
      <w:bookmarkStart w:id="1233" w:name="xdx_902_eus-gaap--ShareBasedCompensation"/>
      <w:bookmarkEnd w:id="1233"/>
      <w:r>
        <w:rPr>
          <w:rFonts w:ascii="Times New Roman;Times;Serif" w:hAnsi="Times New Roman;Times;Serif"/>
          <w:b w:val="false"/>
          <w:i w:val="false"/>
          <w:caps w:val="false"/>
          <w:smallCaps w:val="false"/>
          <w:sz w:val="20"/>
        </w:rPr>
        <w:t>100,000 granted on October 6, 2025 had a value of $</w:t>
      </w:r>
      <w:bookmarkStart w:id="1234" w:name="xdx_902_eus-gaap--SharebasedCompensation"/>
      <w:bookmarkEnd w:id="1234"/>
      <w:r>
        <w:rPr>
          <w:rFonts w:ascii="Times New Roman;Times;Serif" w:hAnsi="Times New Roman;Times;Serif"/>
          <w:b w:val="false"/>
          <w:i w:val="false"/>
          <w:caps w:val="false"/>
          <w:smallCaps w:val="false"/>
          <w:sz w:val="20"/>
        </w:rPr>
        <w:t>631,000.</w:t>
      </w:r>
    </w:p>
    <w:p>
      <w:pPr>
        <w:pStyle w:val="TextBody"/>
        <w:shd w:fill="FFFFFF" w:val="clear"/>
        <w:bidi w:val="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October 1, 2025, the Company granted an aggregate of </w:t>
      </w:r>
      <w:bookmarkStart w:id="1235" w:name="xdx_900_eus-gaap--StockIssuedDuringPerio"/>
      <w:bookmarkEnd w:id="1235"/>
      <w:r>
        <w:rPr>
          <w:rFonts w:ascii="Times New Roman;Times;Serif" w:hAnsi="Times New Roman;Times;Serif"/>
          <w:b w:val="false"/>
          <w:i w:val="false"/>
          <w:caps w:val="false"/>
          <w:smallCaps w:val="false"/>
          <w:sz w:val="20"/>
        </w:rPr>
        <w:t>937,500 restricted stock units vesting over three years from the date of grant in equal quarterly installments in lieu of cash for services to key consultants under the Company’s 2023 Long Term Incentive Plan.</w:t>
      </w:r>
    </w:p>
    <w:p>
      <w:pPr>
        <w:pStyle w:val="TextBody"/>
        <w:shd w:fill="FFFFFF" w:val="clear"/>
        <w:bidi w:val="0"/>
        <w:spacing w:before="0" w:after="0"/>
        <w:ind w:left="0" w:right="0" w:hanging="0"/>
        <w:jc w:val="both"/>
        <w:rPr>
          <w:caps w:val="false"/>
          <w:smallCaps w:val="false"/>
        </w:rPr>
      </w:pPr>
      <w:bookmarkStart w:id="1236" w:name="xdx_818_zMzoLm78mqf6"/>
      <w:bookmarkEnd w:id="1236"/>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31</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1237" w:name="vv_008"/>
      <w:bookmarkEnd w:id="1237"/>
      <w:r>
        <w:rPr>
          <w:rFonts w:ascii="Times New Roman;Times;Serif" w:hAnsi="Times New Roman;Times;Serif"/>
          <w:b/>
          <w:i w:val="false"/>
          <w:caps w:val="false"/>
          <w:smallCaps w:val="false"/>
          <w:sz w:val="20"/>
        </w:rPr>
        <w:t>ITEM 2. MANAGEMENT</w:t>
      </w: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S DISCUSSION AND ANALYSIS OF FINANCIAL CONDITION AND RESULTS OF OPERATIONS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This Management</w:t>
      </w: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s Discussion and Analysis of Financial Condition and Results of Operations includes a number of forward-looking statements that reflect Management</w:t>
      </w: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s current views with respect to future events and financial performance. You can identify these statements by forward-looking words such as</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may,</w:t>
      </w:r>
      <w:r>
        <w:rPr>
          <w:rFonts w:ascii="Times New Roman;Times;Serif" w:hAnsi="Times New Roman;Times;Serif"/>
          <w:b w:val="false"/>
          <w:i w:val="false"/>
          <w:caps w:val="false"/>
          <w:smallCaps w:val="false"/>
          <w:sz w:val="20"/>
        </w:rPr>
        <w:t>” “</w:t>
      </w:r>
      <w:r>
        <w:rPr>
          <w:rFonts w:ascii="Times New Roman;Times;Serif" w:hAnsi="Times New Roman;Times;Serif"/>
          <w:b w:val="false"/>
          <w:i/>
          <w:caps w:val="false"/>
          <w:smallCaps w:val="false"/>
          <w:sz w:val="20"/>
        </w:rPr>
        <w:t>will,</w:t>
      </w:r>
      <w:r>
        <w:rPr>
          <w:rFonts w:ascii="Times New Roman;Times;Serif" w:hAnsi="Times New Roman;Times;Serif"/>
          <w:b w:val="false"/>
          <w:i w:val="false"/>
          <w:caps w:val="false"/>
          <w:smallCaps w:val="false"/>
          <w:sz w:val="20"/>
        </w:rPr>
        <w:t>” “</w:t>
      </w:r>
      <w:r>
        <w:rPr>
          <w:rFonts w:ascii="Times New Roman;Times;Serif" w:hAnsi="Times New Roman;Times;Serif"/>
          <w:b w:val="false"/>
          <w:i/>
          <w:caps w:val="false"/>
          <w:smallCaps w:val="false"/>
          <w:sz w:val="20"/>
        </w:rPr>
        <w:t>expect,</w:t>
      </w:r>
      <w:r>
        <w:rPr>
          <w:rFonts w:ascii="Times New Roman;Times;Serif" w:hAnsi="Times New Roman;Times;Serif"/>
          <w:b w:val="false"/>
          <w:i w:val="false"/>
          <w:caps w:val="false"/>
          <w:smallCaps w:val="false"/>
          <w:sz w:val="20"/>
        </w:rPr>
        <w:t>” “</w:t>
      </w:r>
      <w:r>
        <w:rPr>
          <w:rFonts w:ascii="Times New Roman;Times;Serif" w:hAnsi="Times New Roman;Times;Serif"/>
          <w:b w:val="false"/>
          <w:i/>
          <w:caps w:val="false"/>
          <w:smallCaps w:val="false"/>
          <w:sz w:val="20"/>
        </w:rPr>
        <w:t>anticipate,</w:t>
      </w:r>
      <w:r>
        <w:rPr>
          <w:rFonts w:ascii="Times New Roman;Times;Serif" w:hAnsi="Times New Roman;Times;Serif"/>
          <w:b w:val="false"/>
          <w:i w:val="false"/>
          <w:caps w:val="false"/>
          <w:smallCaps w:val="false"/>
          <w:sz w:val="20"/>
        </w:rPr>
        <w:t>” “</w:t>
      </w:r>
      <w:r>
        <w:rPr>
          <w:rFonts w:ascii="Times New Roman;Times;Serif" w:hAnsi="Times New Roman;Times;Serif"/>
          <w:b w:val="false"/>
          <w:i/>
          <w:caps w:val="false"/>
          <w:smallCaps w:val="false"/>
          <w:sz w:val="20"/>
        </w:rPr>
        <w:t>believe,</w:t>
      </w:r>
      <w:r>
        <w:rPr>
          <w:rFonts w:ascii="Times New Roman;Times;Serif" w:hAnsi="Times New Roman;Times;Serif"/>
          <w:b w:val="false"/>
          <w:i w:val="false"/>
          <w:caps w:val="false"/>
          <w:smallCaps w:val="false"/>
          <w:sz w:val="20"/>
        </w:rPr>
        <w:t>” “</w:t>
      </w:r>
      <w:r>
        <w:rPr>
          <w:rFonts w:ascii="Times New Roman;Times;Serif" w:hAnsi="Times New Roman;Times;Serif"/>
          <w:b w:val="false"/>
          <w:i/>
          <w:caps w:val="false"/>
          <w:smallCaps w:val="false"/>
          <w:sz w:val="20"/>
        </w:rPr>
        <w:t>estimate</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and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continue,</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or similar words. Those statements include statements regarding the intent, belief or current expectations of us and members of our management team as well as the assumptions on which such statements are based. Prospective investors are cautioned that any such forward-looking statements are not guarantees of future performance and involve risk and uncertainties, and that actual results may differ materially from those contemplated by such forward-looking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Readers are urged to carefully review and consider the various disclosures made by us in this report and in our other reports filed with the Securities and Exchange Commission. Important factors currently known to Management could cause actual results to differ materially from those in forward-looking statements. We undertake no obligation to update or revise forward-looking statements to reflect changed assumptions, the occurrence of unanticipated events or changes in the future operating results over time. We believe that our assumptions are based upon reasonable data derived from and known about our business and operations. No assurances are made that actual results of operations or the results of our future activities will not differ materially from our assumptions. Factors that could cause differences include, but are not limited to, expected market demand for our products, fluctuations in pricing for materials, and competition.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Business Overview</w:t>
      </w:r>
    </w:p>
    <w:p>
      <w:pPr>
        <w:pStyle w:val="TextBody"/>
        <w:bidi w:val="0"/>
        <w:spacing w:before="0" w:after="0"/>
        <w:ind w:left="0" w:right="0" w:firstLine="648"/>
        <w:jc w:val="both"/>
        <w:rPr>
          <w:caps w:val="false"/>
          <w:smallCaps w:val="false"/>
        </w:rPr>
      </w:pPr>
      <w:r>
        <w:rPr>
          <w:caps w:val="false"/>
          <w:smallCaps w:val="false"/>
        </w:rPr>
        <w:t> </w:t>
      </w:r>
    </w:p>
    <w:p>
      <w:pPr>
        <w:pStyle w:val="TextBody"/>
        <w:bidi w:val="0"/>
        <w:spacing w:before="0" w:after="0"/>
        <w:ind w:left="0" w:right="0" w:firstLine="64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28, 2025, Streamex Corp. completed its acquisition of Streamex Exchange. The financial results for the three months ended September 30, 2025 include the full activity of Streamex Corp. and all of its wholly and majority-owned subsidiaries, including Streamex Exchange, which has been fully consolidated since the acquisition date. Accordingly, the consolidated financial statements for the third quarter reflect the complete operations of Streamex Exchange for the entire three-month period.</w:t>
      </w:r>
    </w:p>
    <w:p>
      <w:pPr>
        <w:pStyle w:val="TextBody"/>
        <w:bidi w:val="0"/>
        <w:spacing w:before="0" w:after="0"/>
        <w:ind w:left="0" w:right="0" w:firstLine="648"/>
        <w:jc w:val="both"/>
        <w:rPr>
          <w:caps w:val="false"/>
          <w:smallCaps w:val="false"/>
        </w:rPr>
      </w:pPr>
      <w:r>
        <w:rPr>
          <w:caps w:val="false"/>
          <w:smallCaps w:val="false"/>
        </w:rPr>
        <w:t> </w:t>
      </w:r>
    </w:p>
    <w:p>
      <w:pPr>
        <w:pStyle w:val="TextBody"/>
        <w:bidi w:val="0"/>
        <w:spacing w:before="0" w:after="0"/>
        <w:ind w:left="0" w:right="0" w:firstLine="64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expanded from its historical focus as a medical device technology company to a diversified technology platform. Historically, the Company developed and commercialized advanced digital signal processing solutions for electrophysiology, including its flagship PURE EP™ Platform (“PURE EP™”), designed to deliver real-time, high-fidelity cardiac signal data to electrophysiologists during ablation procedures for the treatment of cardiovascular arrhythmias. PURE EP™ enables the acquisition of raw intracardiac signals with minimal noise and interference, supporting improved procedural outcomes and clinical decision-making. By preserving the integrity of complex cardiac signals, PURE EP™ is intended to enhance workflow efficiency and support the treatment of challenging arrhythmias, including ventricular tachycardia (VT) and atrial fibrillation (AF).</w:t>
      </w:r>
    </w:p>
    <w:p>
      <w:pPr>
        <w:pStyle w:val="TextBody"/>
        <w:bidi w:val="0"/>
        <w:spacing w:before="0" w:after="0"/>
        <w:ind w:left="0" w:right="0" w:firstLine="648"/>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recent quarters, the Company has expanded its strategic focus from commercial hardware distribution to the research and development of proprietary software algorithms. These algorithms aim to advance the understanding of cardiac tissue characteristics and ablation mechanisms. Data collection efforts began in December 2023 and remain ongoing. A key area of focus is improving the specificity and long-term outcomes of pulsed field ablation (PFA), a rapidly adopted technique in electrophysiology.</w:t>
      </w:r>
    </w:p>
    <w:p>
      <w:pPr>
        <w:pStyle w:val="TextBody"/>
        <w:bidi w:val="0"/>
        <w:spacing w:before="0" w:after="0"/>
        <w:ind w:left="0" w:right="0" w:firstLine="648"/>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September 30, 2025, the Company’s intellectual property portfolio includes:</w:t>
      </w:r>
    </w:p>
    <w:p>
      <w:pPr>
        <w:pStyle w:val="TextBody"/>
        <w:bidi w:val="0"/>
        <w:spacing w:before="0" w:after="0"/>
        <w:ind w:left="0" w:right="0" w:firstLine="64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 issued or allowed utility patents, of which 29 list the Company as at least one of the applicants;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 pending U.S. and foreign utility patent applications, jointly or solely filed by the Company and Mayo Foundation for Medical Education and Research (“Mayo”);</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issued U.S. patent and 1 pending U.S. application related to artificial intelligence (AI);</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 issued worldwide design patents, covering display screens and graphical user interfaces for biomedical signal visualization;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 issued/allowed patents and 9 pending applications licensed from Mayo, primarily directed to electroporation and stimulation technologies.</w:t>
            </w:r>
          </w:p>
        </w:tc>
      </w:tr>
    </w:tbl>
    <w:p>
      <w:pPr>
        <w:pStyle w:val="TextBody"/>
        <w:bidi w:val="0"/>
        <w:spacing w:before="0" w:after="0"/>
        <w:ind w:left="0" w:right="0" w:firstLine="648"/>
        <w:jc w:val="both"/>
        <w:rPr>
          <w:caps w:val="false"/>
          <w:smallCaps w:val="false"/>
        </w:rPr>
      </w:pPr>
      <w:r>
        <w:rPr>
          <w:caps w:val="false"/>
          <w:smallCaps w:val="false"/>
        </w:rPr>
        <w:t> </w:t>
      </w:r>
    </w:p>
    <w:p>
      <w:pPr>
        <w:pStyle w:val="TextBody"/>
        <w:bidi w:val="0"/>
        <w:spacing w:before="0" w:after="0"/>
        <w:ind w:left="0" w:right="0" w:firstLine="64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Through the acquisition of Streamex Exchange, the Company has expanded its strategic focus to include digital infrastructure for the tokenization and exchange of real-world assets (“RWAs”), with an initial emphasis on gold-backed financial products. Streamex Exchange is developing a blockchain-based platform designed to facilitate the compliant issuance, trading, and custody of tokenized commodities and structured digital securities. As of the reporting date, Streamex Exchange remains in the development stage and is pre-revenue. The Company is actively building out the platform’s architecture, regulatory framework, and strategic partnerships. Revenue-generating activities are expected to commence upon the launch of Streamex Exchange’s tokenized gold financing product, which is currently under development.</w:t>
      </w:r>
    </w:p>
    <w:p>
      <w:pPr>
        <w:pStyle w:val="TextBody"/>
        <w:bidi w:val="0"/>
        <w:spacing w:before="0" w:after="0"/>
        <w:ind w:left="0" w:right="0" w:firstLine="648"/>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32</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648"/>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Results of Operations (000</w:t>
      </w: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5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anticipate that our results of operations will fluctuate for the foreseeable future due to several factors, such as the progress of our research and development and commercialization efforts, the timing and outcome of future regulatory submissions, and other macroeconomic and operational uncertainties. Due to these uncertainties, accurate predictions of future operations are difficult or impossible to make.</w:t>
      </w:r>
    </w:p>
    <w:p>
      <w:pPr>
        <w:pStyle w:val="TextBody"/>
        <w:bidi w:val="0"/>
        <w:spacing w:before="0" w:after="0"/>
        <w:ind w:left="0" w:right="0" w:firstLine="583"/>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Three Months Ended September 30, 2025 Compared to Three Months September 30, 2024 (000</w:t>
      </w:r>
      <w:r>
        <w:rPr>
          <w:rFonts w:ascii="Times New Roman;Times;Serif" w:hAnsi="Times New Roman;Times;Serif"/>
          <w:b w:val="false"/>
          <w:i w:val="false"/>
          <w:caps w:val="false"/>
          <w:smallCaps w:val="false"/>
          <w:sz w:val="20"/>
        </w:rPr>
        <w:t>’</w:t>
      </w:r>
      <w:r>
        <w:rPr>
          <w:rFonts w:ascii="Times New Roman;Times;Serif" w:hAnsi="Times New Roman;Times;Serif"/>
          <w:b/>
          <w:i/>
          <w:caps w:val="false"/>
          <w:smallCaps w:val="false"/>
          <w:sz w:val="20"/>
        </w:rPr>
        <w: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Revenues and Cost of Goods Sold</w:t>
      </w:r>
      <w:r>
        <w:rPr>
          <w:rFonts w:ascii="Times New Roman;Times;Serif" w:hAnsi="Times New Roman;Times;Serif"/>
          <w:b w:val="false"/>
          <w:i w:val="false"/>
          <w:caps w:val="false"/>
          <w:smallCaps w:val="false"/>
          <w:sz w:val="20"/>
        </w:rPr>
        <w:t>. Revenue for the three months ended September 30, 2025 and 2024 was $0 and $0, respectively, and comprised of recognized service revenue.</w:t>
      </w:r>
    </w:p>
    <w:p>
      <w:pPr>
        <w:pStyle w:val="TextBody"/>
        <w:bidi w:val="0"/>
        <w:spacing w:before="0" w:after="0"/>
        <w:ind w:left="0" w:right="0" w:firstLine="583"/>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derive our revenue primarily from the sale of our medical device, PURE EP™ Platform, as well as related support and maintenance services and software upgrades in connection with the device.</w:t>
      </w:r>
    </w:p>
    <w:p>
      <w:pPr>
        <w:pStyle w:val="TextBody"/>
        <w:bidi w:val="0"/>
        <w:spacing w:before="0" w:after="0"/>
        <w:ind w:left="0" w:right="0" w:firstLine="583"/>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Research and Development Expenses</w:t>
      </w:r>
      <w:r>
        <w:rPr>
          <w:rFonts w:ascii="Times New Roman;Times;Serif" w:hAnsi="Times New Roman;Times;Serif"/>
          <w:b w:val="false"/>
          <w:i w:val="false"/>
          <w:caps w:val="false"/>
          <w:smallCaps w:val="false"/>
          <w:sz w:val="20"/>
        </w:rPr>
        <w:t>. Research and development expenses for the three months ended September 30, 2025 were $6, a decrease of $150, or 96%, from $156 for the three months ended September 30, 2024. The decrease is primarily attributable to reductions in payroll, Data/AI development, and clinical research and design activities. These reductions were the result of a temporary reallocation of internal resources during the quarter, as the Company focused on supporting the Streamex Exchange acquisition. Research and development programs remained active but operated at reduced levels while management and technical teams engaged in due diligence, integration planning, and related activities. The Company expects research and development activity to resume at normalized levels in future periods.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Research and development expenses were comprised of the following: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Three months ended:</w:t>
      </w:r>
    </w:p>
    <w:p>
      <w:pPr>
        <w:pStyle w:val="TextBody"/>
        <w:bidi w:val="0"/>
        <w:spacing w:before="0" w:after="0"/>
        <w:ind w:left="0" w:right="0" w:firstLine="583"/>
        <w:jc w:val="both"/>
        <w:rPr>
          <w:caps w:val="false"/>
          <w:smallCaps w:val="false"/>
        </w:rPr>
      </w:pPr>
      <w:r>
        <w:rPr>
          <w:caps w:val="false"/>
          <w:smallCaps w:val="false"/>
        </w:rPr>
        <w:t> </w:t>
      </w:r>
    </w:p>
    <w:tbl>
      <w:tblPr>
        <w:tblW w:w="8668" w:type="dxa"/>
        <w:jc w:val="left"/>
        <w:tblInd w:w="0" w:type="dxa"/>
        <w:tblLayout w:type="fixed"/>
        <w:tblCellMar>
          <w:top w:w="0" w:type="dxa"/>
          <w:left w:w="0" w:type="dxa"/>
          <w:bottom w:w="0" w:type="dxa"/>
          <w:right w:w="0" w:type="dxa"/>
        </w:tblCellMar>
      </w:tblPr>
      <w:tblGrid>
        <w:gridCol w:w="4385"/>
        <w:gridCol w:w="60"/>
        <w:gridCol w:w="525"/>
        <w:gridCol w:w="1489"/>
        <w:gridCol w:w="60"/>
        <w:gridCol w:w="60"/>
        <w:gridCol w:w="542"/>
        <w:gridCol w:w="1472"/>
        <w:gridCol w:w="75"/>
      </w:tblGrid>
      <w:tr>
        <w:trPr/>
        <w:tc>
          <w:tcPr>
            <w:tcW w:w="43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1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September 30, 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1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September 30, 2024</w:t>
            </w:r>
          </w:p>
        </w:tc>
        <w:tc>
          <w:tcPr>
            <w:tcW w:w="75" w:type="dxa"/>
            <w:tcBorders/>
            <w:vAlign w:val="center"/>
          </w:tcPr>
          <w:p>
            <w:pPr>
              <w:pStyle w:val="TableContents"/>
              <w:bidi w:val="0"/>
              <w:spacing w:before="0" w:after="283"/>
              <w:jc w:val="left"/>
              <w:rPr/>
            </w:pPr>
            <w:r>
              <w:rPr/>
              <w:t> </w:t>
            </w:r>
          </w:p>
        </w:tc>
      </w:tr>
      <w:tr>
        <w:trPr/>
        <w:tc>
          <w:tcPr>
            <w:tcW w:w="4385" w:type="dxa"/>
            <w:tcBorders/>
            <w:shd w:fill="CCEEFF" w:val="clear"/>
            <w:vAlign w:val="center"/>
          </w:tcPr>
          <w:p>
            <w:pPr>
              <w:pStyle w:val="TableContents"/>
              <w:bidi w:val="0"/>
              <w:spacing w:before="0" w:after="283"/>
              <w:jc w:val="both"/>
              <w:rPr/>
            </w:pPr>
            <w:r>
              <w:rPr/>
              <w:t>Salaries and equity compensation</w:t>
            </w:r>
          </w:p>
        </w:tc>
        <w:tc>
          <w:tcPr>
            <w:tcW w:w="60" w:type="dxa"/>
            <w:tcBorders/>
            <w:shd w:fill="CCEEFF" w:val="clear"/>
            <w:vAlign w:val="center"/>
          </w:tcPr>
          <w:p>
            <w:pPr>
              <w:pStyle w:val="TableContents"/>
              <w:bidi w:val="0"/>
              <w:spacing w:before="0" w:after="283"/>
              <w:jc w:val="left"/>
              <w:rPr/>
            </w:pPr>
            <w:r>
              <w:rPr/>
              <w:t> </w:t>
            </w:r>
          </w:p>
        </w:tc>
        <w:tc>
          <w:tcPr>
            <w:tcW w:w="525" w:type="dxa"/>
            <w:tcBorders/>
            <w:shd w:fill="CCEEFF" w:val="clear"/>
            <w:vAlign w:val="center"/>
          </w:tcPr>
          <w:p>
            <w:pPr>
              <w:pStyle w:val="TableContents"/>
              <w:bidi w:val="0"/>
              <w:spacing w:before="0" w:after="283"/>
              <w:jc w:val="left"/>
              <w:rPr/>
            </w:pPr>
            <w:r>
              <w:rPr/>
              <w:t>$</w:t>
            </w:r>
          </w:p>
        </w:tc>
        <w:tc>
          <w:tcPr>
            <w:tcW w:w="1489" w:type="dxa"/>
            <w:tcBorders/>
            <w:shd w:fill="CCEEFF" w:val="clear"/>
            <w:vAlign w:val="center"/>
          </w:tcPr>
          <w:p>
            <w:pPr>
              <w:pStyle w:val="TableContents"/>
              <w:bidi w:val="0"/>
              <w:spacing w:before="0" w:after="283"/>
              <w:jc w:val="right"/>
              <w:rPr/>
            </w:pPr>
            <w:r>
              <w:rPr/>
              <w:t>     </w:t>
            </w: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42" w:type="dxa"/>
            <w:tcBorders/>
            <w:shd w:fill="CCEEFF" w:val="clear"/>
            <w:vAlign w:val="center"/>
          </w:tcPr>
          <w:p>
            <w:pPr>
              <w:pStyle w:val="TableContents"/>
              <w:bidi w:val="0"/>
              <w:spacing w:before="0" w:after="283"/>
              <w:jc w:val="left"/>
              <w:rPr/>
            </w:pPr>
            <w:r>
              <w:rPr/>
              <w:t>$</w:t>
            </w:r>
          </w:p>
        </w:tc>
        <w:tc>
          <w:tcPr>
            <w:tcW w:w="1472" w:type="dxa"/>
            <w:tcBorders/>
            <w:shd w:fill="CCEEFF" w:val="clear"/>
            <w:vAlign w:val="center"/>
          </w:tcPr>
          <w:p>
            <w:pPr>
              <w:pStyle w:val="TableContents"/>
              <w:bidi w:val="0"/>
              <w:spacing w:before="0" w:after="283"/>
              <w:jc w:val="right"/>
              <w:rPr/>
            </w:pPr>
            <w:r>
              <w:rPr/>
              <w:t>105</w:t>
            </w:r>
          </w:p>
        </w:tc>
        <w:tc>
          <w:tcPr>
            <w:tcW w:w="75" w:type="dxa"/>
            <w:tcBorders/>
            <w:shd w:fill="CCEEFF" w:val="clear"/>
            <w:vAlign w:val="center"/>
          </w:tcPr>
          <w:p>
            <w:pPr>
              <w:pStyle w:val="TableContents"/>
              <w:bidi w:val="0"/>
              <w:spacing w:before="0" w:after="283"/>
              <w:jc w:val="left"/>
              <w:rPr/>
            </w:pPr>
            <w:r>
              <w:rPr/>
              <w:t> </w:t>
            </w:r>
          </w:p>
        </w:tc>
      </w:tr>
      <w:tr>
        <w:trPr/>
        <w:tc>
          <w:tcPr>
            <w:tcW w:w="4385" w:type="dxa"/>
            <w:tcBorders/>
            <w:shd w:fill="FFFFFF" w:val="clear"/>
            <w:vAlign w:val="center"/>
          </w:tcPr>
          <w:p>
            <w:pPr>
              <w:pStyle w:val="TableContents"/>
              <w:bidi w:val="0"/>
              <w:spacing w:before="0" w:after="283"/>
              <w:jc w:val="both"/>
              <w:rPr/>
            </w:pPr>
            <w:r>
              <w:rPr/>
              <w:t>Research and clinical studies and design work</w:t>
            </w:r>
          </w:p>
        </w:tc>
        <w:tc>
          <w:tcPr>
            <w:tcW w:w="60" w:type="dxa"/>
            <w:tcBorders/>
            <w:shd w:fill="FFFFFF" w:val="clear"/>
            <w:vAlign w:val="center"/>
          </w:tcPr>
          <w:p>
            <w:pPr>
              <w:pStyle w:val="TableContents"/>
              <w:bidi w:val="0"/>
              <w:spacing w:before="0" w:after="283"/>
              <w:jc w:val="left"/>
              <w:rPr/>
            </w:pPr>
            <w:r>
              <w:rPr/>
              <w:t> </w:t>
            </w:r>
          </w:p>
        </w:tc>
        <w:tc>
          <w:tcPr>
            <w:tcW w:w="525" w:type="dxa"/>
            <w:tcBorders/>
            <w:shd w:fill="FFFFFF" w:val="clear"/>
            <w:vAlign w:val="center"/>
          </w:tcPr>
          <w:p>
            <w:pPr>
              <w:pStyle w:val="TableContents"/>
              <w:bidi w:val="0"/>
              <w:spacing w:before="0" w:after="283"/>
              <w:jc w:val="left"/>
              <w:rPr/>
            </w:pPr>
            <w:r>
              <w:rPr/>
              <w:t> </w:t>
            </w:r>
          </w:p>
        </w:tc>
        <w:tc>
          <w:tcPr>
            <w:tcW w:w="1489" w:type="dxa"/>
            <w:tcBorders/>
            <w:shd w:fill="FFFFFF" w:val="clear"/>
            <w:vAlign w:val="center"/>
          </w:tcPr>
          <w:p>
            <w:pPr>
              <w:pStyle w:val="TableContents"/>
              <w:bidi w:val="0"/>
              <w:spacing w:before="0" w:after="283"/>
              <w:jc w:val="right"/>
              <w:rPr/>
            </w:pPr>
            <w:r>
              <w:rPr/>
              <w:t>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42" w:type="dxa"/>
            <w:tcBorders/>
            <w:shd w:fill="FFFFFF" w:val="clear"/>
            <w:vAlign w:val="center"/>
          </w:tcPr>
          <w:p>
            <w:pPr>
              <w:pStyle w:val="TableContents"/>
              <w:bidi w:val="0"/>
              <w:spacing w:before="0" w:after="283"/>
              <w:jc w:val="left"/>
              <w:rPr/>
            </w:pPr>
            <w:r>
              <w:rPr/>
              <w:t> </w:t>
            </w:r>
          </w:p>
        </w:tc>
        <w:tc>
          <w:tcPr>
            <w:tcW w:w="1472" w:type="dxa"/>
            <w:tcBorders/>
            <w:shd w:fill="FFFFFF" w:val="clear"/>
            <w:vAlign w:val="center"/>
          </w:tcPr>
          <w:p>
            <w:pPr>
              <w:pStyle w:val="TableContents"/>
              <w:bidi w:val="0"/>
              <w:spacing w:before="0" w:after="283"/>
              <w:jc w:val="right"/>
              <w:rPr/>
            </w:pPr>
            <w:r>
              <w:rPr/>
              <w:t>34</w:t>
            </w:r>
          </w:p>
        </w:tc>
        <w:tc>
          <w:tcPr>
            <w:tcW w:w="75" w:type="dxa"/>
            <w:tcBorders/>
            <w:shd w:fill="FFFFFF" w:val="clear"/>
            <w:vAlign w:val="center"/>
          </w:tcPr>
          <w:p>
            <w:pPr>
              <w:pStyle w:val="TableContents"/>
              <w:bidi w:val="0"/>
              <w:spacing w:before="0" w:after="283"/>
              <w:jc w:val="left"/>
              <w:rPr/>
            </w:pPr>
            <w:r>
              <w:rPr/>
              <w:t> </w:t>
            </w:r>
          </w:p>
        </w:tc>
      </w:tr>
      <w:tr>
        <w:trPr/>
        <w:tc>
          <w:tcPr>
            <w:tcW w:w="4385" w:type="dxa"/>
            <w:tcBorders/>
            <w:shd w:fill="CCEEFF" w:val="clear"/>
            <w:vAlign w:val="center"/>
          </w:tcPr>
          <w:p>
            <w:pPr>
              <w:pStyle w:val="TableContents"/>
              <w:bidi w:val="0"/>
              <w:spacing w:before="0" w:after="283"/>
              <w:jc w:val="both"/>
              <w:rPr/>
            </w:pPr>
            <w:r>
              <w:rPr/>
              <w:t>Regulatory</w:t>
            </w:r>
          </w:p>
        </w:tc>
        <w:tc>
          <w:tcPr>
            <w:tcW w:w="60" w:type="dxa"/>
            <w:tcBorders/>
            <w:shd w:fill="CCEEFF" w:val="clear"/>
            <w:vAlign w:val="center"/>
          </w:tcPr>
          <w:p>
            <w:pPr>
              <w:pStyle w:val="TableContents"/>
              <w:bidi w:val="0"/>
              <w:spacing w:before="0" w:after="283"/>
              <w:jc w:val="left"/>
              <w:rPr/>
            </w:pPr>
            <w:r>
              <w:rPr/>
              <w:t> </w:t>
            </w:r>
          </w:p>
        </w:tc>
        <w:tc>
          <w:tcPr>
            <w:tcW w:w="525" w:type="dxa"/>
            <w:tcBorders/>
            <w:shd w:fill="CCEEFF" w:val="clear"/>
            <w:vAlign w:val="center"/>
          </w:tcPr>
          <w:p>
            <w:pPr>
              <w:pStyle w:val="TableContents"/>
              <w:bidi w:val="0"/>
              <w:spacing w:before="0" w:after="283"/>
              <w:jc w:val="left"/>
              <w:rPr/>
            </w:pPr>
            <w:r>
              <w:rPr/>
              <w:t> </w:t>
            </w:r>
          </w:p>
        </w:tc>
        <w:tc>
          <w:tcPr>
            <w:tcW w:w="148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42" w:type="dxa"/>
            <w:tcBorders/>
            <w:shd w:fill="CCEEFF" w:val="clear"/>
            <w:vAlign w:val="center"/>
          </w:tcPr>
          <w:p>
            <w:pPr>
              <w:pStyle w:val="TableContents"/>
              <w:bidi w:val="0"/>
              <w:spacing w:before="0" w:after="283"/>
              <w:jc w:val="left"/>
              <w:rPr/>
            </w:pPr>
            <w:r>
              <w:rPr/>
              <w:t> </w:t>
            </w:r>
          </w:p>
        </w:tc>
        <w:tc>
          <w:tcPr>
            <w:tcW w:w="1472" w:type="dxa"/>
            <w:tcBorders/>
            <w:shd w:fill="CCEEFF" w:val="clear"/>
            <w:vAlign w:val="center"/>
          </w:tcPr>
          <w:p>
            <w:pPr>
              <w:pStyle w:val="TableContents"/>
              <w:bidi w:val="0"/>
              <w:spacing w:before="0" w:after="283"/>
              <w:jc w:val="right"/>
              <w:rPr/>
            </w:pPr>
            <w:r>
              <w:rPr/>
              <w:t>1</w:t>
            </w:r>
          </w:p>
        </w:tc>
        <w:tc>
          <w:tcPr>
            <w:tcW w:w="75" w:type="dxa"/>
            <w:tcBorders/>
            <w:shd w:fill="CCEEFF" w:val="clear"/>
            <w:vAlign w:val="center"/>
          </w:tcPr>
          <w:p>
            <w:pPr>
              <w:pStyle w:val="TableContents"/>
              <w:bidi w:val="0"/>
              <w:spacing w:before="0" w:after="283"/>
              <w:jc w:val="left"/>
              <w:rPr/>
            </w:pPr>
            <w:r>
              <w:rPr/>
              <w:t> </w:t>
            </w:r>
          </w:p>
        </w:tc>
      </w:tr>
      <w:tr>
        <w:trPr/>
        <w:tc>
          <w:tcPr>
            <w:tcW w:w="4385" w:type="dxa"/>
            <w:tcBorders/>
            <w:shd w:fill="FFFFFF" w:val="clear"/>
            <w:vAlign w:val="center"/>
          </w:tcPr>
          <w:p>
            <w:pPr>
              <w:pStyle w:val="TableContents"/>
              <w:bidi w:val="0"/>
              <w:spacing w:before="0" w:after="283"/>
              <w:jc w:val="both"/>
              <w:rPr/>
            </w:pPr>
            <w:r>
              <w:rPr/>
              <w:t>Travel, supplies, other</w:t>
            </w:r>
          </w:p>
        </w:tc>
        <w:tc>
          <w:tcPr>
            <w:tcW w:w="60" w:type="dxa"/>
            <w:tcBorders/>
            <w:shd w:fill="FFFFFF" w:val="clear"/>
            <w:vAlign w:val="center"/>
          </w:tcPr>
          <w:p>
            <w:pPr>
              <w:pStyle w:val="TableContents"/>
              <w:bidi w:val="0"/>
              <w:spacing w:before="0" w:after="283"/>
              <w:jc w:val="left"/>
              <w:rPr/>
            </w:pPr>
            <w:r>
              <w:rPr/>
              <w:t> </w:t>
            </w:r>
          </w:p>
        </w:tc>
        <w:tc>
          <w:tcPr>
            <w:tcW w:w="52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89"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4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72" w:type="dxa"/>
            <w:tcBorders>
              <w:bottom w:val="single" w:sz="8" w:space="0" w:color="000000"/>
            </w:tcBorders>
            <w:shd w:fill="FFFFFF" w:val="clear"/>
            <w:tcMar>
              <w:bottom w:w="28" w:type="dxa"/>
            </w:tcMar>
            <w:vAlign w:val="center"/>
          </w:tcPr>
          <w:p>
            <w:pPr>
              <w:pStyle w:val="TableContents"/>
              <w:bidi w:val="0"/>
              <w:spacing w:before="0" w:after="283"/>
              <w:jc w:val="right"/>
              <w:rPr/>
            </w:pPr>
            <w:r>
              <w:rPr/>
              <w:t>16</w:t>
            </w:r>
          </w:p>
        </w:tc>
        <w:tc>
          <w:tcPr>
            <w:tcW w:w="75" w:type="dxa"/>
            <w:tcBorders/>
            <w:shd w:fill="FFFFFF" w:val="clear"/>
            <w:vAlign w:val="center"/>
          </w:tcPr>
          <w:p>
            <w:pPr>
              <w:pStyle w:val="TableContents"/>
              <w:bidi w:val="0"/>
              <w:spacing w:before="0" w:after="283"/>
              <w:jc w:val="left"/>
              <w:rPr/>
            </w:pPr>
            <w:r>
              <w:rPr/>
              <w:t> </w:t>
            </w:r>
          </w:p>
        </w:tc>
      </w:tr>
      <w:tr>
        <w:trPr/>
        <w:tc>
          <w:tcPr>
            <w:tcW w:w="4385" w:type="dxa"/>
            <w:tcBorders/>
            <w:shd w:fill="CCEEFF" w:val="clear"/>
            <w:vAlign w:val="center"/>
          </w:tcPr>
          <w:p>
            <w:pPr>
              <w:pStyle w:val="TableContents"/>
              <w:bidi w:val="0"/>
              <w:spacing w:before="0" w:after="283"/>
              <w:jc w:val="both"/>
              <w:rPr/>
            </w:pPr>
            <w:r>
              <w:rPr/>
              <w:t>Total</w:t>
            </w:r>
          </w:p>
        </w:tc>
        <w:tc>
          <w:tcPr>
            <w:tcW w:w="60" w:type="dxa"/>
            <w:tcBorders/>
            <w:shd w:fill="CCEEFF" w:val="clear"/>
            <w:vAlign w:val="center"/>
          </w:tcPr>
          <w:p>
            <w:pPr>
              <w:pStyle w:val="TableContents"/>
              <w:bidi w:val="0"/>
              <w:spacing w:before="0" w:after="283"/>
              <w:jc w:val="left"/>
              <w:rPr/>
            </w:pPr>
            <w:r>
              <w:rPr/>
              <w:t> </w:t>
            </w:r>
          </w:p>
        </w:tc>
        <w:tc>
          <w:tcPr>
            <w:tcW w:w="525"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489" w:type="dxa"/>
            <w:tcBorders>
              <w:bottom w:val="double" w:sz="6" w:space="0" w:color="000000"/>
            </w:tcBorders>
            <w:shd w:fill="CCEEFF" w:val="clear"/>
            <w:tcMar>
              <w:bottom w:w="28" w:type="dxa"/>
            </w:tcMar>
            <w:vAlign w:val="center"/>
          </w:tcPr>
          <w:p>
            <w:pPr>
              <w:pStyle w:val="TableContents"/>
              <w:bidi w:val="0"/>
              <w:spacing w:before="0" w:after="283"/>
              <w:jc w:val="right"/>
              <w:rPr/>
            </w:pPr>
            <w:r>
              <w:rPr/>
              <w:t>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42"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472" w:type="dxa"/>
            <w:tcBorders>
              <w:bottom w:val="double" w:sz="6" w:space="0" w:color="000000"/>
            </w:tcBorders>
            <w:shd w:fill="CCEEFF" w:val="clear"/>
            <w:tcMar>
              <w:bottom w:w="28" w:type="dxa"/>
            </w:tcMar>
            <w:vAlign w:val="center"/>
          </w:tcPr>
          <w:p>
            <w:pPr>
              <w:pStyle w:val="TableContents"/>
              <w:bidi w:val="0"/>
              <w:spacing w:before="0" w:after="283"/>
              <w:jc w:val="right"/>
              <w:rPr/>
            </w:pPr>
            <w:r>
              <w:rPr/>
              <w:t>156</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General and Administrative Expenses.</w:t>
      </w:r>
      <w:r>
        <w:rPr>
          <w:rFonts w:ascii="Times New Roman;Times;Serif" w:hAnsi="Times New Roman;Times;Serif"/>
          <w:b w:val="false"/>
          <w:i w:val="false"/>
          <w:caps w:val="false"/>
          <w:smallCaps w:val="false"/>
          <w:sz w:val="20"/>
        </w:rPr>
        <w:t xml:space="preserve"> General and administrative expenses for the three months ended September 30, 2025 were $4,619, an increase of $1,856 or 67%, from $2,763 incurred in the three months ended September 30, 2024. The increase was primarily driven by higher professional fees and consulting costs associated with the Streamex Exchange acquisition and related integration activities. Accounting fees rose by approximately $292 for audit and compliance support. Shareholder relations costs also increased by $418, mainly due to board fees and higher investor relations and public relations spending. Marketing expenses of approximately $579 were incurred in the current period compared to none in the prior period, as the Company launched initiatives to enhance brand visibility. Payroll and related costs increased by approximately $429, primarily due to expanded corporate staffing and executive compensation, and directors’ and officers’ insurance premiums. Legal fees increased by approximately $596, due to the acquisition with Streamex Exchange Corp. and expanding of the operations under Streamex Exchange Corp. These increases were partially offset by lower patent-related costs compared to the prior period. Overall, the increase reflects the Company’s strategic focus on completing the Streamex Exchange acquisition and positioning for future growth.</w:t>
      </w:r>
    </w:p>
    <w:p>
      <w:pPr>
        <w:pStyle w:val="TextBody"/>
        <w:bidi w:val="0"/>
        <w:spacing w:before="0" w:after="0"/>
        <w:ind w:left="0" w:right="0" w:hanging="0"/>
        <w:jc w:val="center"/>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33</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Depreciation and Amortization Expense.</w:t>
      </w:r>
      <w:r>
        <w:rPr>
          <w:rFonts w:ascii="Times New Roman;Times;Serif" w:hAnsi="Times New Roman;Times;Serif"/>
          <w:b w:val="false"/>
          <w:i w:val="false"/>
          <w:caps w:val="false"/>
          <w:smallCaps w:val="false"/>
          <w:sz w:val="20"/>
        </w:rPr>
        <w:t xml:space="preserve"> Depreciation and amortization expense for the three months ended September 30, 2025 totaled $1,488, an increase of $1,457, or 4700%, over the expense of $31 incurred in the three months ended September 30, 2024, as a direct result of the amortization of the intangible assets recognized from the acquisition of Streamex Exchange. The Company’s intangible assets primarily consist of trade name, developed technology, legal and compliance framework, and patents.</w:t>
      </w:r>
    </w:p>
    <w:p>
      <w:pPr>
        <w:pStyle w:val="TextBody"/>
        <w:bidi w:val="0"/>
        <w:spacing w:before="0" w:after="0"/>
        <w:ind w:left="0" w:right="0" w:firstLine="583"/>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Other Income (Expense), net.</w:t>
      </w:r>
      <w:r>
        <w:rPr>
          <w:rFonts w:ascii="Times New Roman;Times;Serif" w:hAnsi="Times New Roman;Times;Serif"/>
          <w:b w:val="false"/>
          <w:i w:val="false"/>
          <w:caps w:val="false"/>
          <w:smallCaps w:val="false"/>
          <w:sz w:val="20"/>
        </w:rPr>
        <w:t xml:space="preserve"> Other income (expense), net for the three months ended September 30, 2025 totaled $10,236, a decrease in other income of $11,272, over the income of $1,036 incurred in the three months ended September 30, 2024. The decrease was mainly due to the change in fair value related to the derivative liability offset by the gain on settlement and extinguishment of accounts payable negotiated by management during the prior period.</w:t>
      </w:r>
    </w:p>
    <w:p>
      <w:pPr>
        <w:pStyle w:val="TextBody"/>
        <w:bidi w:val="0"/>
        <w:spacing w:before="0" w:after="0"/>
        <w:ind w:left="0" w:right="0" w:firstLine="583"/>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Income taxes (benefit). </w:t>
      </w:r>
      <w:r>
        <w:rPr>
          <w:rFonts w:ascii="Times New Roman;Times;Serif" w:hAnsi="Times New Roman;Times;Serif"/>
          <w:b w:val="false"/>
          <w:i w:val="false"/>
          <w:caps w:val="false"/>
          <w:smallCaps w:val="false"/>
          <w:sz w:val="20"/>
        </w:rPr>
        <w:t>For the three months ended September 30, 2025, the Company recorded an income tax benefit of $765,000, compared to $0 in the prior-year periods. The benefit resulted from the reversal of a deferred tax liability associated with the amortization of identifiable intangible assets acquired in the Company’s Canadian subsidiary. The deferred tax liability was recognized during the measurement period as part of the acquisition accounting and reflects a temporary difference due to the non-deductibility of the intangible amortization under Canadian tax law. The benefit recognized in the current period reflects the impact of this measurement period adjustment and was recorded retrospectively as of the acquisition date. No comparable benefit was recorded in the prior-year periods as the acquisition and related tax effects did not exist at that time.</w:t>
      </w:r>
    </w:p>
    <w:p>
      <w:pPr>
        <w:pStyle w:val="TextBody"/>
        <w:bidi w:val="0"/>
        <w:spacing w:before="0" w:after="0"/>
        <w:ind w:left="0" w:right="0" w:firstLine="583"/>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Preferred Stock Dividend</w:t>
      </w:r>
      <w:r>
        <w:rPr>
          <w:rFonts w:ascii="Times New Roman;Times;Serif" w:hAnsi="Times New Roman;Times;Serif"/>
          <w:b w:val="false"/>
          <w:i w:val="false"/>
          <w:caps w:val="false"/>
          <w:smallCaps w:val="false"/>
          <w:sz w:val="20"/>
        </w:rPr>
        <w:t>. Preferred stock dividend for the three months ended September 30, 2025 and 2024 totaled $2 and $2, respectively. Preferred stock dividends are related to the dividends accrued on our Series C Preferred Stock issued during the period from 2013 through 2015.</w:t>
      </w:r>
    </w:p>
    <w:p>
      <w:pPr>
        <w:pStyle w:val="TextBody"/>
        <w:bidi w:val="0"/>
        <w:spacing w:before="0" w:after="0"/>
        <w:ind w:left="0" w:right="0" w:firstLine="583"/>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Net Loss Attributable to Streamex Corp. Common Stockholders</w:t>
      </w:r>
      <w:r>
        <w:rPr>
          <w:rFonts w:ascii="Times New Roman;Times;Serif" w:hAnsi="Times New Roman;Times;Serif"/>
          <w:b w:val="false"/>
          <w:i w:val="false"/>
          <w:caps w:val="false"/>
          <w:smallCaps w:val="false"/>
          <w:sz w:val="20"/>
        </w:rPr>
        <w:t>. As a result of the foregoing, net loss attributable to common shareholders for the three months ended September 30, 2025 was $15,586 compared to a net loss of $1,940 for the three months ended September 30, 2024.</w:t>
      </w:r>
    </w:p>
    <w:p>
      <w:pPr>
        <w:pStyle w:val="TextBody"/>
        <w:bidi w:val="0"/>
        <w:spacing w:before="0" w:after="0"/>
        <w:ind w:left="0" w:right="0" w:firstLine="648"/>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Nine Months Ended September 30, 2025 Compared to Nine Months September 30, 2024 (000</w:t>
      </w:r>
      <w:r>
        <w:rPr>
          <w:rFonts w:ascii="Times New Roman;Times;Serif" w:hAnsi="Times New Roman;Times;Serif"/>
          <w:b w:val="false"/>
          <w:i w:val="false"/>
          <w:caps w:val="false"/>
          <w:smallCaps w:val="false"/>
          <w:sz w:val="20"/>
        </w:rPr>
        <w:t>’</w:t>
      </w:r>
      <w:r>
        <w:rPr>
          <w:rFonts w:ascii="Times New Roman;Times;Serif" w:hAnsi="Times New Roman;Times;Serif"/>
          <w:b/>
          <w:i/>
          <w:caps w:val="false"/>
          <w:smallCaps w:val="false"/>
          <w:sz w:val="20"/>
        </w:rPr>
        <w: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Revenues and Cost of Goods Sold</w:t>
      </w:r>
      <w:r>
        <w:rPr>
          <w:rFonts w:ascii="Times New Roman;Times;Serif" w:hAnsi="Times New Roman;Times;Serif"/>
          <w:b w:val="false"/>
          <w:i w:val="false"/>
          <w:caps w:val="false"/>
          <w:smallCaps w:val="false"/>
          <w:sz w:val="20"/>
        </w:rPr>
        <w:t>. Revenue for the nine months ended September 30, 2025 and 2024 was $0 and $27, respectively, and comprised of recognized service revenue.</w:t>
      </w:r>
    </w:p>
    <w:p>
      <w:pPr>
        <w:pStyle w:val="TextBody"/>
        <w:bidi w:val="0"/>
        <w:spacing w:before="0" w:after="0"/>
        <w:ind w:left="0" w:right="0" w:firstLine="583"/>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derive our revenue primarily from the sale of our medical device, PURE EP™ Platform, as well as related support and maintenance services and software upgrades in connection with the device.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Research and Development Expenses</w:t>
      </w:r>
      <w:r>
        <w:rPr>
          <w:rFonts w:ascii="Times New Roman;Times;Serif" w:hAnsi="Times New Roman;Times;Serif"/>
          <w:b w:val="false"/>
          <w:i w:val="false"/>
          <w:caps w:val="false"/>
          <w:smallCaps w:val="false"/>
          <w:sz w:val="20"/>
        </w:rPr>
        <w:t>. Research and development expenses for the nine months ended September 30, 2025 were $31 a decrease of $705, or 96%, from $736 for the nine months ended September 30, 2024. The decrease primarily reflects lower payroll and reduced spend on research, clinical studies, and design work as resources were temporarily reallocated to support the Streamex Exchange acquisition. Management expects research and development activity to normalize in future periods.</w:t>
      </w:r>
    </w:p>
    <w:p>
      <w:pPr>
        <w:pStyle w:val="TextBody"/>
        <w:bidi w:val="0"/>
        <w:spacing w:before="0" w:after="0"/>
        <w:ind w:left="0" w:right="0" w:firstLine="583"/>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Research and development expenses were comprised of the following: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Nine months ended:</w:t>
      </w:r>
    </w:p>
    <w:p>
      <w:pPr>
        <w:pStyle w:val="TextBody"/>
        <w:bidi w:val="0"/>
        <w:spacing w:before="0" w:after="0"/>
        <w:ind w:left="0" w:right="0" w:firstLine="583"/>
        <w:jc w:val="both"/>
        <w:rPr>
          <w:caps w:val="false"/>
          <w:smallCaps w:val="false"/>
        </w:rPr>
      </w:pPr>
      <w:r>
        <w:rPr>
          <w:caps w:val="false"/>
          <w:smallCaps w:val="false"/>
        </w:rPr>
        <w:t> </w:t>
      </w:r>
    </w:p>
    <w:tbl>
      <w:tblPr>
        <w:tblW w:w="8668" w:type="dxa"/>
        <w:jc w:val="left"/>
        <w:tblInd w:w="0" w:type="dxa"/>
        <w:tblLayout w:type="fixed"/>
        <w:tblCellMar>
          <w:top w:w="0" w:type="dxa"/>
          <w:left w:w="0" w:type="dxa"/>
          <w:bottom w:w="0" w:type="dxa"/>
          <w:right w:w="0" w:type="dxa"/>
        </w:tblCellMar>
      </w:tblPr>
      <w:tblGrid>
        <w:gridCol w:w="4385"/>
        <w:gridCol w:w="60"/>
        <w:gridCol w:w="704"/>
        <w:gridCol w:w="1310"/>
        <w:gridCol w:w="60"/>
        <w:gridCol w:w="60"/>
        <w:gridCol w:w="542"/>
        <w:gridCol w:w="1472"/>
        <w:gridCol w:w="75"/>
      </w:tblGrid>
      <w:tr>
        <w:trPr/>
        <w:tc>
          <w:tcPr>
            <w:tcW w:w="43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1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September 30, 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1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September 30, 2024</w:t>
            </w:r>
          </w:p>
        </w:tc>
        <w:tc>
          <w:tcPr>
            <w:tcW w:w="75" w:type="dxa"/>
            <w:tcBorders/>
            <w:vAlign w:val="center"/>
          </w:tcPr>
          <w:p>
            <w:pPr>
              <w:pStyle w:val="TableContents"/>
              <w:bidi w:val="0"/>
              <w:spacing w:before="0" w:after="283"/>
              <w:jc w:val="left"/>
              <w:rPr/>
            </w:pPr>
            <w:r>
              <w:rPr/>
              <w:t> </w:t>
            </w:r>
          </w:p>
        </w:tc>
      </w:tr>
      <w:tr>
        <w:trPr/>
        <w:tc>
          <w:tcPr>
            <w:tcW w:w="4385" w:type="dxa"/>
            <w:tcBorders/>
            <w:shd w:fill="CCEEFF" w:val="clear"/>
            <w:vAlign w:val="center"/>
          </w:tcPr>
          <w:p>
            <w:pPr>
              <w:pStyle w:val="TableContents"/>
              <w:bidi w:val="0"/>
              <w:spacing w:before="0" w:after="283"/>
              <w:jc w:val="both"/>
              <w:rPr/>
            </w:pPr>
            <w:r>
              <w:rPr/>
              <w:t>Salaries and equity compensation</w:t>
            </w:r>
          </w:p>
        </w:tc>
        <w:tc>
          <w:tcPr>
            <w:tcW w:w="60" w:type="dxa"/>
            <w:tcBorders/>
            <w:shd w:fill="CCEEFF" w:val="clear"/>
            <w:vAlign w:val="center"/>
          </w:tcPr>
          <w:p>
            <w:pPr>
              <w:pStyle w:val="TableContents"/>
              <w:bidi w:val="0"/>
              <w:spacing w:before="0" w:after="283"/>
              <w:jc w:val="left"/>
              <w:rPr/>
            </w:pPr>
            <w:r>
              <w:rPr/>
              <w:t> </w:t>
            </w:r>
          </w:p>
        </w:tc>
        <w:tc>
          <w:tcPr>
            <w:tcW w:w="704" w:type="dxa"/>
            <w:tcBorders/>
            <w:shd w:fill="CCEEFF" w:val="clear"/>
            <w:vAlign w:val="center"/>
          </w:tcPr>
          <w:p>
            <w:pPr>
              <w:pStyle w:val="TableContents"/>
              <w:bidi w:val="0"/>
              <w:spacing w:before="0" w:after="283"/>
              <w:jc w:val="left"/>
              <w:rPr/>
            </w:pPr>
            <w:r>
              <w:rPr/>
              <w:t>$</w:t>
            </w:r>
          </w:p>
        </w:tc>
        <w:tc>
          <w:tcPr>
            <w:tcW w:w="131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42" w:type="dxa"/>
            <w:tcBorders/>
            <w:shd w:fill="CCEEFF" w:val="clear"/>
            <w:vAlign w:val="center"/>
          </w:tcPr>
          <w:p>
            <w:pPr>
              <w:pStyle w:val="TableContents"/>
              <w:bidi w:val="0"/>
              <w:spacing w:before="0" w:after="283"/>
              <w:jc w:val="left"/>
              <w:rPr/>
            </w:pPr>
            <w:r>
              <w:rPr/>
              <w:t>$</w:t>
            </w:r>
          </w:p>
        </w:tc>
        <w:tc>
          <w:tcPr>
            <w:tcW w:w="1472" w:type="dxa"/>
            <w:tcBorders/>
            <w:shd w:fill="CCEEFF" w:val="clear"/>
            <w:vAlign w:val="center"/>
          </w:tcPr>
          <w:p>
            <w:pPr>
              <w:pStyle w:val="TableContents"/>
              <w:bidi w:val="0"/>
              <w:spacing w:before="0" w:after="283"/>
              <w:jc w:val="right"/>
              <w:rPr/>
            </w:pPr>
            <w:r>
              <w:rPr/>
              <w:t>469</w:t>
            </w:r>
          </w:p>
        </w:tc>
        <w:tc>
          <w:tcPr>
            <w:tcW w:w="75" w:type="dxa"/>
            <w:tcBorders/>
            <w:shd w:fill="CCEEFF" w:val="clear"/>
            <w:vAlign w:val="center"/>
          </w:tcPr>
          <w:p>
            <w:pPr>
              <w:pStyle w:val="TableContents"/>
              <w:bidi w:val="0"/>
              <w:spacing w:before="0" w:after="283"/>
              <w:jc w:val="left"/>
              <w:rPr/>
            </w:pPr>
            <w:r>
              <w:rPr/>
              <w:t> </w:t>
            </w:r>
          </w:p>
        </w:tc>
      </w:tr>
      <w:tr>
        <w:trPr/>
        <w:tc>
          <w:tcPr>
            <w:tcW w:w="4385" w:type="dxa"/>
            <w:tcBorders/>
            <w:shd w:fill="FFFFFF" w:val="clear"/>
            <w:vAlign w:val="center"/>
          </w:tcPr>
          <w:p>
            <w:pPr>
              <w:pStyle w:val="TableContents"/>
              <w:bidi w:val="0"/>
              <w:spacing w:before="0" w:after="283"/>
              <w:jc w:val="both"/>
              <w:rPr/>
            </w:pPr>
            <w:r>
              <w:rPr/>
              <w:t>Consulting expenses</w:t>
            </w:r>
          </w:p>
        </w:tc>
        <w:tc>
          <w:tcPr>
            <w:tcW w:w="60" w:type="dxa"/>
            <w:tcBorders/>
            <w:shd w:fill="FFFFFF" w:val="clear"/>
            <w:vAlign w:val="center"/>
          </w:tcPr>
          <w:p>
            <w:pPr>
              <w:pStyle w:val="TableContents"/>
              <w:bidi w:val="0"/>
              <w:spacing w:before="0" w:after="283"/>
              <w:jc w:val="left"/>
              <w:rPr/>
            </w:pPr>
            <w:r>
              <w:rPr/>
              <w:t> </w:t>
            </w:r>
          </w:p>
        </w:tc>
        <w:tc>
          <w:tcPr>
            <w:tcW w:w="704" w:type="dxa"/>
            <w:tcBorders/>
            <w:shd w:fill="FFFFFF" w:val="clear"/>
            <w:vAlign w:val="center"/>
          </w:tcPr>
          <w:p>
            <w:pPr>
              <w:pStyle w:val="TableContents"/>
              <w:bidi w:val="0"/>
              <w:spacing w:before="0" w:after="283"/>
              <w:jc w:val="left"/>
              <w:rPr/>
            </w:pPr>
            <w:r>
              <w:rPr/>
              <w:t> </w:t>
            </w:r>
          </w:p>
        </w:tc>
        <w:tc>
          <w:tcPr>
            <w:tcW w:w="1310" w:type="dxa"/>
            <w:tcBorders/>
            <w:shd w:fill="FFFFFF" w:val="clear"/>
            <w:vAlign w:val="center"/>
          </w:tcPr>
          <w:p>
            <w:pPr>
              <w:pStyle w:val="TableContents"/>
              <w:bidi w:val="0"/>
              <w:spacing w:before="0" w:after="283"/>
              <w:jc w:val="right"/>
              <w:rPr/>
            </w:pPr>
            <w:r>
              <w:rPr/>
              <w:t>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42" w:type="dxa"/>
            <w:tcBorders/>
            <w:shd w:fill="FFFFFF" w:val="clear"/>
            <w:vAlign w:val="center"/>
          </w:tcPr>
          <w:p>
            <w:pPr>
              <w:pStyle w:val="TableContents"/>
              <w:bidi w:val="0"/>
              <w:spacing w:before="0" w:after="283"/>
              <w:jc w:val="left"/>
              <w:rPr/>
            </w:pPr>
            <w:r>
              <w:rPr/>
              <w:t> </w:t>
            </w:r>
          </w:p>
        </w:tc>
        <w:tc>
          <w:tcPr>
            <w:tcW w:w="1472" w:type="dxa"/>
            <w:tcBorders/>
            <w:shd w:fill="FFFFFF" w:val="clear"/>
            <w:vAlign w:val="center"/>
          </w:tcPr>
          <w:p>
            <w:pPr>
              <w:pStyle w:val="TableContents"/>
              <w:bidi w:val="0"/>
              <w:spacing w:before="0" w:after="283"/>
              <w:jc w:val="right"/>
              <w:rPr/>
            </w:pPr>
            <w:r>
              <w:rPr/>
              <w:t>120</w:t>
            </w:r>
          </w:p>
        </w:tc>
        <w:tc>
          <w:tcPr>
            <w:tcW w:w="75" w:type="dxa"/>
            <w:tcBorders/>
            <w:shd w:fill="FFFFFF" w:val="clear"/>
            <w:vAlign w:val="center"/>
          </w:tcPr>
          <w:p>
            <w:pPr>
              <w:pStyle w:val="TableContents"/>
              <w:bidi w:val="0"/>
              <w:spacing w:before="0" w:after="283"/>
              <w:jc w:val="left"/>
              <w:rPr/>
            </w:pPr>
            <w:r>
              <w:rPr/>
              <w:t> </w:t>
            </w:r>
          </w:p>
        </w:tc>
      </w:tr>
      <w:tr>
        <w:trPr/>
        <w:tc>
          <w:tcPr>
            <w:tcW w:w="4385" w:type="dxa"/>
            <w:tcBorders/>
            <w:shd w:fill="CCEEFF" w:val="clear"/>
            <w:vAlign w:val="center"/>
          </w:tcPr>
          <w:p>
            <w:pPr>
              <w:pStyle w:val="TableContents"/>
              <w:bidi w:val="0"/>
              <w:spacing w:before="0" w:after="283"/>
              <w:jc w:val="both"/>
              <w:rPr/>
            </w:pPr>
            <w:r>
              <w:rPr/>
              <w:t>Research and clinical studies and design work</w:t>
            </w:r>
          </w:p>
        </w:tc>
        <w:tc>
          <w:tcPr>
            <w:tcW w:w="60" w:type="dxa"/>
            <w:tcBorders/>
            <w:shd w:fill="CCEEFF" w:val="clear"/>
            <w:vAlign w:val="center"/>
          </w:tcPr>
          <w:p>
            <w:pPr>
              <w:pStyle w:val="TableContents"/>
              <w:bidi w:val="0"/>
              <w:spacing w:before="0" w:after="283"/>
              <w:jc w:val="left"/>
              <w:rPr/>
            </w:pPr>
            <w:r>
              <w:rPr/>
              <w:t> </w:t>
            </w:r>
          </w:p>
        </w:tc>
        <w:tc>
          <w:tcPr>
            <w:tcW w:w="704" w:type="dxa"/>
            <w:tcBorders/>
            <w:shd w:fill="CCEEFF" w:val="clear"/>
            <w:vAlign w:val="center"/>
          </w:tcPr>
          <w:p>
            <w:pPr>
              <w:pStyle w:val="TableContents"/>
              <w:bidi w:val="0"/>
              <w:spacing w:before="0" w:after="283"/>
              <w:jc w:val="left"/>
              <w:rPr/>
            </w:pPr>
            <w:r>
              <w:rPr/>
              <w:t> </w:t>
            </w:r>
          </w:p>
        </w:tc>
        <w:tc>
          <w:tcPr>
            <w:tcW w:w="1310" w:type="dxa"/>
            <w:tcBorders/>
            <w:shd w:fill="CCEEFF" w:val="clear"/>
            <w:vAlign w:val="center"/>
          </w:tcPr>
          <w:p>
            <w:pPr>
              <w:pStyle w:val="TableContents"/>
              <w:bidi w:val="0"/>
              <w:spacing w:before="0" w:after="283"/>
              <w:jc w:val="right"/>
              <w:rPr/>
            </w:pPr>
            <w:r>
              <w:rPr/>
              <w:t>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42" w:type="dxa"/>
            <w:tcBorders/>
            <w:shd w:fill="CCEEFF" w:val="clear"/>
            <w:vAlign w:val="center"/>
          </w:tcPr>
          <w:p>
            <w:pPr>
              <w:pStyle w:val="TableContents"/>
              <w:bidi w:val="0"/>
              <w:spacing w:before="0" w:after="283"/>
              <w:jc w:val="left"/>
              <w:rPr/>
            </w:pPr>
            <w:r>
              <w:rPr/>
              <w:t> </w:t>
            </w:r>
          </w:p>
        </w:tc>
        <w:tc>
          <w:tcPr>
            <w:tcW w:w="1472" w:type="dxa"/>
            <w:tcBorders/>
            <w:shd w:fill="CCEEFF" w:val="clear"/>
            <w:vAlign w:val="center"/>
          </w:tcPr>
          <w:p>
            <w:pPr>
              <w:pStyle w:val="TableContents"/>
              <w:bidi w:val="0"/>
              <w:spacing w:before="0" w:after="283"/>
              <w:jc w:val="right"/>
              <w:rPr/>
            </w:pPr>
            <w:r>
              <w:rPr/>
              <w:t>85</w:t>
            </w:r>
          </w:p>
        </w:tc>
        <w:tc>
          <w:tcPr>
            <w:tcW w:w="75" w:type="dxa"/>
            <w:tcBorders/>
            <w:shd w:fill="CCEEFF" w:val="clear"/>
            <w:vAlign w:val="center"/>
          </w:tcPr>
          <w:p>
            <w:pPr>
              <w:pStyle w:val="TableContents"/>
              <w:bidi w:val="0"/>
              <w:spacing w:before="0" w:after="283"/>
              <w:jc w:val="left"/>
              <w:rPr/>
            </w:pPr>
            <w:r>
              <w:rPr/>
              <w:t> </w:t>
            </w:r>
          </w:p>
        </w:tc>
      </w:tr>
      <w:tr>
        <w:trPr/>
        <w:tc>
          <w:tcPr>
            <w:tcW w:w="4385" w:type="dxa"/>
            <w:tcBorders/>
            <w:shd w:fill="FFFFFF" w:val="clear"/>
            <w:vAlign w:val="center"/>
          </w:tcPr>
          <w:p>
            <w:pPr>
              <w:pStyle w:val="TableContents"/>
              <w:bidi w:val="0"/>
              <w:spacing w:before="0" w:after="283"/>
              <w:jc w:val="both"/>
              <w:rPr/>
            </w:pPr>
            <w:r>
              <w:rPr/>
              <w:t>Regulatory</w:t>
            </w:r>
          </w:p>
        </w:tc>
        <w:tc>
          <w:tcPr>
            <w:tcW w:w="60" w:type="dxa"/>
            <w:tcBorders/>
            <w:shd w:fill="FFFFFF" w:val="clear"/>
            <w:vAlign w:val="center"/>
          </w:tcPr>
          <w:p>
            <w:pPr>
              <w:pStyle w:val="TableContents"/>
              <w:bidi w:val="0"/>
              <w:spacing w:before="0" w:after="283"/>
              <w:jc w:val="left"/>
              <w:rPr/>
            </w:pPr>
            <w:r>
              <w:rPr/>
              <w:t> </w:t>
            </w:r>
          </w:p>
        </w:tc>
        <w:tc>
          <w:tcPr>
            <w:tcW w:w="704" w:type="dxa"/>
            <w:tcBorders/>
            <w:shd w:fill="FFFFFF" w:val="clear"/>
            <w:vAlign w:val="center"/>
          </w:tcPr>
          <w:p>
            <w:pPr>
              <w:pStyle w:val="TableContents"/>
              <w:bidi w:val="0"/>
              <w:spacing w:before="0" w:after="283"/>
              <w:jc w:val="left"/>
              <w:rPr/>
            </w:pPr>
            <w:r>
              <w:rPr/>
              <w:t> </w:t>
            </w:r>
          </w:p>
        </w:tc>
        <w:tc>
          <w:tcPr>
            <w:tcW w:w="131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42" w:type="dxa"/>
            <w:tcBorders/>
            <w:shd w:fill="FFFFFF" w:val="clear"/>
            <w:vAlign w:val="center"/>
          </w:tcPr>
          <w:p>
            <w:pPr>
              <w:pStyle w:val="TableContents"/>
              <w:bidi w:val="0"/>
              <w:spacing w:before="0" w:after="283"/>
              <w:jc w:val="left"/>
              <w:rPr/>
            </w:pPr>
            <w:r>
              <w:rPr/>
              <w:t> </w:t>
            </w:r>
          </w:p>
        </w:tc>
        <w:tc>
          <w:tcPr>
            <w:tcW w:w="1472" w:type="dxa"/>
            <w:tcBorders/>
            <w:shd w:fill="FFFFFF" w:val="clear"/>
            <w:vAlign w:val="center"/>
          </w:tcPr>
          <w:p>
            <w:pPr>
              <w:pStyle w:val="TableContents"/>
              <w:bidi w:val="0"/>
              <w:spacing w:before="0" w:after="283"/>
              <w:jc w:val="right"/>
              <w:rPr/>
            </w:pPr>
            <w:r>
              <w:rPr/>
              <w:t>3</w:t>
            </w:r>
          </w:p>
        </w:tc>
        <w:tc>
          <w:tcPr>
            <w:tcW w:w="75" w:type="dxa"/>
            <w:tcBorders/>
            <w:shd w:fill="FFFFFF" w:val="clear"/>
            <w:vAlign w:val="center"/>
          </w:tcPr>
          <w:p>
            <w:pPr>
              <w:pStyle w:val="TableContents"/>
              <w:bidi w:val="0"/>
              <w:spacing w:before="0" w:after="283"/>
              <w:jc w:val="left"/>
              <w:rPr/>
            </w:pPr>
            <w:r>
              <w:rPr/>
              <w:t> </w:t>
            </w:r>
          </w:p>
        </w:tc>
      </w:tr>
      <w:tr>
        <w:trPr/>
        <w:tc>
          <w:tcPr>
            <w:tcW w:w="4385" w:type="dxa"/>
            <w:tcBorders/>
            <w:shd w:fill="CCEEFF" w:val="clear"/>
            <w:vAlign w:val="center"/>
          </w:tcPr>
          <w:p>
            <w:pPr>
              <w:pStyle w:val="TableContents"/>
              <w:bidi w:val="0"/>
              <w:spacing w:before="0" w:after="283"/>
              <w:jc w:val="both"/>
              <w:rPr/>
            </w:pPr>
            <w:r>
              <w:rPr/>
              <w:t>Travel, supplies, other</w:t>
            </w:r>
          </w:p>
        </w:tc>
        <w:tc>
          <w:tcPr>
            <w:tcW w:w="60" w:type="dxa"/>
            <w:tcBorders/>
            <w:shd w:fill="CCEEFF" w:val="clear"/>
            <w:vAlign w:val="center"/>
          </w:tcPr>
          <w:p>
            <w:pPr>
              <w:pStyle w:val="TableContents"/>
              <w:bidi w:val="0"/>
              <w:spacing w:before="0" w:after="283"/>
              <w:jc w:val="left"/>
              <w:rPr/>
            </w:pPr>
            <w:r>
              <w:rPr/>
              <w:t> </w:t>
            </w:r>
          </w:p>
        </w:tc>
        <w:tc>
          <w:tcPr>
            <w:tcW w:w="70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10" w:type="dxa"/>
            <w:tcBorders>
              <w:bottom w:val="single" w:sz="8" w:space="0" w:color="000000"/>
            </w:tcBorders>
            <w:shd w:fill="CCEEFF" w:val="clear"/>
            <w:tcMar>
              <w:bottom w:w="28" w:type="dxa"/>
            </w:tcMar>
            <w:vAlign w:val="center"/>
          </w:tcPr>
          <w:p>
            <w:pPr>
              <w:pStyle w:val="TableContents"/>
              <w:bidi w:val="0"/>
              <w:spacing w:before="0" w:after="283"/>
              <w:jc w:val="right"/>
              <w:rPr/>
            </w:pPr>
            <w:r>
              <w:rPr/>
              <w:t>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4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72" w:type="dxa"/>
            <w:tcBorders>
              <w:bottom w:val="single" w:sz="8" w:space="0" w:color="000000"/>
            </w:tcBorders>
            <w:shd w:fill="CCEEFF" w:val="clear"/>
            <w:tcMar>
              <w:bottom w:w="28" w:type="dxa"/>
            </w:tcMar>
            <w:vAlign w:val="center"/>
          </w:tcPr>
          <w:p>
            <w:pPr>
              <w:pStyle w:val="TableContents"/>
              <w:bidi w:val="0"/>
              <w:spacing w:before="0" w:after="283"/>
              <w:jc w:val="right"/>
              <w:rPr/>
            </w:pPr>
            <w:r>
              <w:rPr/>
              <w:t>59</w:t>
            </w:r>
          </w:p>
        </w:tc>
        <w:tc>
          <w:tcPr>
            <w:tcW w:w="75" w:type="dxa"/>
            <w:tcBorders/>
            <w:shd w:fill="CCEEFF" w:val="clear"/>
            <w:vAlign w:val="center"/>
          </w:tcPr>
          <w:p>
            <w:pPr>
              <w:pStyle w:val="TableContents"/>
              <w:bidi w:val="0"/>
              <w:spacing w:before="0" w:after="283"/>
              <w:jc w:val="left"/>
              <w:rPr/>
            </w:pPr>
            <w:r>
              <w:rPr/>
              <w:t> </w:t>
            </w:r>
          </w:p>
        </w:tc>
      </w:tr>
      <w:tr>
        <w:trPr/>
        <w:tc>
          <w:tcPr>
            <w:tcW w:w="4385" w:type="dxa"/>
            <w:tcBorders/>
            <w:shd w:fill="FFFFFF" w:val="clear"/>
            <w:vAlign w:val="center"/>
          </w:tcPr>
          <w:p>
            <w:pPr>
              <w:pStyle w:val="TableContents"/>
              <w:bidi w:val="0"/>
              <w:spacing w:before="0" w:after="283"/>
              <w:jc w:val="both"/>
              <w:rPr/>
            </w:pPr>
            <w:r>
              <w:rPr/>
              <w:t>Total</w:t>
            </w:r>
          </w:p>
        </w:tc>
        <w:tc>
          <w:tcPr>
            <w:tcW w:w="60" w:type="dxa"/>
            <w:tcBorders/>
            <w:shd w:fill="FFFFFF" w:val="clear"/>
            <w:vAlign w:val="center"/>
          </w:tcPr>
          <w:p>
            <w:pPr>
              <w:pStyle w:val="TableContents"/>
              <w:bidi w:val="0"/>
              <w:spacing w:before="0" w:after="283"/>
              <w:jc w:val="left"/>
              <w:rPr/>
            </w:pPr>
            <w:r>
              <w:rPr/>
              <w:t> </w:t>
            </w:r>
          </w:p>
        </w:tc>
        <w:tc>
          <w:tcPr>
            <w:tcW w:w="704"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310" w:type="dxa"/>
            <w:tcBorders>
              <w:bottom w:val="double" w:sz="6" w:space="0" w:color="000000"/>
            </w:tcBorders>
            <w:shd w:fill="FFFFFF" w:val="clear"/>
            <w:tcMar>
              <w:bottom w:w="28" w:type="dxa"/>
            </w:tcMar>
            <w:vAlign w:val="center"/>
          </w:tcPr>
          <w:p>
            <w:pPr>
              <w:pStyle w:val="TableContents"/>
              <w:bidi w:val="0"/>
              <w:spacing w:before="0" w:after="283"/>
              <w:jc w:val="right"/>
              <w:rPr/>
            </w:pPr>
            <w:r>
              <w:rPr/>
              <w:t>31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42"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472" w:type="dxa"/>
            <w:tcBorders>
              <w:bottom w:val="double" w:sz="6" w:space="0" w:color="000000"/>
            </w:tcBorders>
            <w:shd w:fill="FFFFFF" w:val="clear"/>
            <w:tcMar>
              <w:bottom w:w="28" w:type="dxa"/>
            </w:tcMar>
            <w:vAlign w:val="center"/>
          </w:tcPr>
          <w:p>
            <w:pPr>
              <w:pStyle w:val="TableContents"/>
              <w:bidi w:val="0"/>
              <w:spacing w:before="0" w:after="283"/>
              <w:jc w:val="right"/>
              <w:rPr/>
            </w:pPr>
            <w:r>
              <w:rPr/>
              <w:t>736</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General and Administrative Expenses.</w:t>
      </w:r>
      <w:r>
        <w:rPr>
          <w:rFonts w:ascii="Times New Roman;Times;Serif" w:hAnsi="Times New Roman;Times;Serif"/>
          <w:b w:val="false"/>
          <w:i w:val="false"/>
          <w:caps w:val="false"/>
          <w:smallCaps w:val="false"/>
          <w:sz w:val="20"/>
        </w:rPr>
        <w:t xml:space="preserve"> General and administrative expenses for the nine months ended September 30, 2025 were $27,365 an increase of $16,806 or 159%, from $10,559 incurred in the nine months ended September 30, 2024. The increase was primarily driven by higher stock-based compensation and professional fees related to the Streamex Exchange acquisition. Stock-based compensation and common stock issued for services totaled $15,560 in the current period, representing approximately 57% of total general and administrative expenses, compared to $6,804 in the prior period. The increase reflects equity awards issued under the amended executive employment agreement with Mr. Amato and stock grants to third-party consultants in connection with the acquisition. Professional fees and consulting costs increased significantly, with consulting expenses rising to $6,492 from $830, and accounting fees increasing by $311, primarily for transaction support and integration planning. Additional increases were noted in payroll ($1,670 vs $1,248), marketing ($607 vs. $98), shareholder services ($999 vs. $383), legal fees ($975 vs. 556), and D&amp;O insurance premiums ($321 vs. $92), reflecting expanded governance and investor relations activities. These increases were partially offset by lower payroll-related costs compared to the prior-year period. Overall, the increase reflects the Company’s strategic focus on completing the Streamex Exchange acquisition and positioning for future growth.</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Impairment of Long Term Assets.</w:t>
      </w:r>
      <w:r>
        <w:rPr>
          <w:rFonts w:ascii="Times New Roman;Times;Serif" w:hAnsi="Times New Roman;Times;Serif"/>
          <w:b w:val="false"/>
          <w:i w:val="false"/>
          <w:caps w:val="false"/>
          <w:smallCaps w:val="false"/>
          <w:sz w:val="20"/>
        </w:rPr>
        <w:t xml:space="preserve"> For the nine months ended September 30, 2025, the Company determined that no events or changes in circumstances existed that would indicate any impairment of its long-lived assets. During the nine months ended September 30, 2024, the Company re-assessed it’s carrying amounts of certain property and equipment due to reduced manufacturing of its commercial products and determined that these carrying amounts exceeded the estimated undiscounted future cash flows. Accordingly, the Company recorded a $253 impairment charge to current operations.</w:t>
      </w:r>
    </w:p>
    <w:p>
      <w:pPr>
        <w:pStyle w:val="TextBody"/>
        <w:bidi w:val="0"/>
        <w:spacing w:before="0" w:after="0"/>
        <w:ind w:left="0" w:right="0" w:firstLine="583"/>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34</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Depreciation and Amortization Expense.</w:t>
      </w:r>
      <w:r>
        <w:rPr>
          <w:rFonts w:ascii="Times New Roman;Times;Serif" w:hAnsi="Times New Roman;Times;Serif"/>
          <w:b w:val="false"/>
          <w:i w:val="false"/>
          <w:caps w:val="false"/>
          <w:smallCaps w:val="false"/>
          <w:sz w:val="20"/>
        </w:rPr>
        <w:t xml:space="preserve"> Depreciation and amortization expense for the nine months ended September 30, 2025 totaled $2,065, an increase of $1,907, or 1207%, over the expense of $158 incurred in the nine months ended September 30, 2024, as a direct result of the amortization of the intangible assets recognized from the acquisition of Streamex Exchange.</w:t>
      </w:r>
    </w:p>
    <w:p>
      <w:pPr>
        <w:pStyle w:val="TextBody"/>
        <w:bidi w:val="0"/>
        <w:spacing w:before="0" w:after="0"/>
        <w:ind w:left="0" w:right="0" w:firstLine="583"/>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Other Income (Expense), Net.</w:t>
      </w:r>
      <w:r>
        <w:rPr>
          <w:rFonts w:ascii="Times New Roman;Times;Serif" w:hAnsi="Times New Roman;Times;Serif"/>
          <w:b w:val="false"/>
          <w:i w:val="false"/>
          <w:caps w:val="false"/>
          <w:smallCaps w:val="false"/>
          <w:sz w:val="20"/>
        </w:rPr>
        <w:t xml:space="preserve"> Other income (expense), net for the nine months ended September 30, 2025 totaled $10,055, a decrease in other income of $12,494, over the income of $2,439 incurred in the nine months ended September 30, 2024. The decrease was mainly due to the change in fair value related to the derivative liability offset by the gain on settlement and extinguishment of accounts payable negotiated by management during the prior period.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Preferred Stock Dividend</w:t>
      </w:r>
      <w:r>
        <w:rPr>
          <w:rFonts w:ascii="Times New Roman;Times;Serif" w:hAnsi="Times New Roman;Times;Serif"/>
          <w:b w:val="false"/>
          <w:i w:val="false"/>
          <w:caps w:val="false"/>
          <w:smallCaps w:val="false"/>
          <w:sz w:val="20"/>
        </w:rPr>
        <w:t>. Preferred stock dividend for the nine months ended September 30, 2025 and 2024 totaled $(7) for both periods. Preferred stock dividends are related to the dividends accrued on our Series C Preferred Stock issued during the period from 2013 through 2015. In addition, the Series C Preferred stock conversion rate reset from $2.50 to $0.5302 in during the nine months ended September 30, 2024, therefore we recorded a noncash deemed preferred stock dividend of $157 in the prior period.</w:t>
      </w:r>
    </w:p>
    <w:p>
      <w:pPr>
        <w:pStyle w:val="TextBody"/>
        <w:bidi w:val="0"/>
        <w:spacing w:before="0" w:after="0"/>
        <w:ind w:left="0" w:right="0" w:firstLine="583"/>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Income taxes (benefit). </w:t>
      </w:r>
      <w:r>
        <w:rPr>
          <w:rFonts w:ascii="Times New Roman;Times;Serif" w:hAnsi="Times New Roman;Times;Serif"/>
          <w:b w:val="false"/>
          <w:i w:val="false"/>
          <w:caps w:val="false"/>
          <w:smallCaps w:val="false"/>
          <w:sz w:val="20"/>
        </w:rPr>
        <w:t>For the nine months ended September 30, 2025, the Company recorded an income tax benefit of $765,000, compared to $0 in the prior-year periods. The benefit resulted from the reversal of a deferred tax liability associated with the amortization of identifiable intangible assets acquired in the Company’s Canadian subsidiary. The deferred tax liability was recognized during the measurement period as part of the acquisition accounting and reflects a temporary difference due to the non-deductibility of the intangible amortization under Canadian tax law. The benefit recognized in the current period reflects the impact of this measurement period adjustment and was recorded retrospectively as of the acquisition date. No comparable benefit was recorded in the prior-year periods as the acquisition and related tax effects did not exist at that time.</w:t>
      </w:r>
    </w:p>
    <w:p>
      <w:pPr>
        <w:pStyle w:val="TextBody"/>
        <w:bidi w:val="0"/>
        <w:spacing w:before="0" w:after="0"/>
        <w:ind w:left="0" w:right="0" w:firstLine="583"/>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Net Loss Attributable to Streamex Corp. Common Stockholders</w:t>
      </w:r>
      <w:r>
        <w:rPr>
          <w:rFonts w:ascii="Times New Roman;Times;Serif" w:hAnsi="Times New Roman;Times;Serif"/>
          <w:b w:val="false"/>
          <w:i w:val="false"/>
          <w:caps w:val="false"/>
          <w:smallCaps w:val="false"/>
          <w:sz w:val="20"/>
        </w:rPr>
        <w:t>. As a result of the foregoing, net loss attributable to common shareholders for the nine months ended September 30, 2025 was $38,774 compared to a net loss of $9,395 for the nine months ended September 30, 2024.</w:t>
      </w:r>
    </w:p>
    <w:p>
      <w:pPr>
        <w:pStyle w:val="TextBody"/>
        <w:bidi w:val="0"/>
        <w:spacing w:before="0" w:after="0"/>
        <w:ind w:left="0" w:right="0" w:firstLine="583"/>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Liquidity and Capital Resources and Going Concern ($000</w:t>
      </w: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September 30, 2025, we had a working capital deficit of approximately $111 million and cash of $11.0 million. For the nine months ended September 30, 2025, we used $7.4 million in operating activities, provided $0.2 million from investing activities, and generated $18.1 million from financing activities, primarily from equity offerings including $14.4 million from common stock and warrants and $3.9 million from at-the-market sales.</w:t>
      </w:r>
    </w:p>
    <w:p>
      <w:pPr>
        <w:pStyle w:val="TextBody"/>
        <w:bidi w:val="0"/>
        <w:spacing w:before="0" w:after="0"/>
        <w:ind w:left="0" w:right="0" w:firstLine="648"/>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an accumulated deficit of $294.1 million, a net loss attributable to common shareholders of $39.0 million for the nine months ended September 30, 2025, and continued negative cash flows from operations. We do not currently have sufficient cash or committed financing to fund operations for the twelve months following issuance of this Form 10-Q. These conditions raise substantial doubt about our ability to continue as a going concern.</w:t>
      </w:r>
    </w:p>
    <w:p>
      <w:pPr>
        <w:pStyle w:val="TextBody"/>
        <w:bidi w:val="0"/>
        <w:spacing w:before="0" w:after="0"/>
        <w:ind w:left="0" w:right="0" w:firstLine="648"/>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financial results for the three months ended September 30, 2025 fully reflect the operations of Streamex Corp. and its wholly and majority-owned subsidiaries, including Streamex Exchange, which was acquired on May 28, 2025, which has been fully consolidated since the acquisition date. Accordingly, the consolidated financial statements for the third quarter reflect the complete operations of Streamex Exchange for the entire three-month period. The acquisition marks a strategic expansion of the Company’s platform beyond its medical device technology to a diversified technology platform. While continuing to advance proprietary software algorithms for cardiac signal analysis and pulsed field ablation research, the Company has broadened its scope to include blockchain-based infrastructure for tokenization and exchange of real-world assets. This expansion builds on the Company’s legacy in digital signal processing, including its PURE EP™ Platform, and reflects a multi-sector technology strategy.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expect to continue incurring operating losses and negative cash flows until our products—including the PURE EP™ Platform and Streamex Exchange’s blockchain solutions—achieve sustained commercial success. While commercial products are available for sale, revenues have not been significant, and there is no assurance future revenues will be sufficient to fund operations. Streamex Exchange remains in the development stage and is pre-revenue; we expect additional costs for platform development, regulatory compliance, and strategic partnerships before revenue generation begins. Initial revenue is expected upon launch of Streamex Exchange’s tokenized gold financing product, which is currently under development.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continue as a going concern is dependent on securing additional financing. We are actively exploring various funding sources, including:</w:t>
      </w:r>
    </w:p>
    <w:p>
      <w:pPr>
        <w:pStyle w:val="TextBody"/>
        <w:bidi w:val="0"/>
        <w:spacing w:before="0" w:after="0"/>
        <w:ind w:left="0" w:right="0" w:firstLine="583"/>
        <w:jc w:val="both"/>
        <w:rPr>
          <w:caps w:val="false"/>
          <w:smallCaps w:val="false"/>
        </w:rPr>
      </w:pPr>
      <w:r>
        <w:rPr>
          <w:caps w:val="false"/>
          <w:smallCaps w:val="false"/>
        </w:rPr>
        <w:t> </w:t>
      </w:r>
    </w:p>
    <w:tbl>
      <w:tblPr>
        <w:tblW w:w="4165" w:type="dxa"/>
        <w:jc w:val="left"/>
        <w:tblInd w:w="0" w:type="dxa"/>
        <w:tblLayout w:type="fixed"/>
        <w:tblCellMar>
          <w:top w:w="0" w:type="dxa"/>
          <w:left w:w="0" w:type="dxa"/>
          <w:bottom w:w="0" w:type="dxa"/>
          <w:right w:w="0" w:type="dxa"/>
        </w:tblCellMar>
      </w:tblPr>
      <w:tblGrid>
        <w:gridCol w:w="75"/>
        <w:gridCol w:w="170"/>
        <w:gridCol w:w="392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39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Public or private equity offerings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39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Strategic partnerships or licensing arrangements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39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Government grants or non-dilutive funding</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39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Debt financing, where feasible</w:t>
            </w:r>
          </w:p>
        </w:tc>
      </w:tr>
    </w:tbl>
    <w:p>
      <w:pPr>
        <w:pStyle w:val="TextBody"/>
        <w:bidi w:val="0"/>
        <w:spacing w:before="0" w:after="0"/>
        <w:ind w:left="0" w:right="0" w:firstLine="583"/>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While we previously implemented cost-saving measures to reduce cash burn, we have recently increased spending to accelerate development of the Streamex Exchange platform. These initiatives are expected to support long-term growth but will increase near-term cash requirements. There can be no assurance that we will successfully obtain the additional funding needed to support these activities.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24, 2025, we entered into Amendment No. 2 to our Secured Convertible Debenture Purchase Agreement with YA II PN, Ltd., which provides for up to $100 million in secured convertible debentures, including two initial tranches of $25 million each. The amendment also requires that $25.1 million of proceeds be allocated to purchase Allocated Vaulted Gold Bullion as collateral ($12.6 million at the first closing; $12.5 million at the second closing). Closings remain subject to Nasdaq approval and other conditions, and there can be no assurance these conditions will be satisfied. The first closing occurred on November 4, 2025, resulting in the issuance of a $25 million Convertible Debenture and the allocation of approximately $12.6 million toward the purchase of Allocated Vaulted Gold Bullion.</w:t>
      </w:r>
    </w:p>
    <w:p>
      <w:pPr>
        <w:pStyle w:val="TextBody"/>
        <w:bidi w:val="0"/>
        <w:spacing w:before="0" w:after="0"/>
        <w:ind w:left="0" w:right="0" w:firstLine="583"/>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35</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Series C Preferred Stock Redemption Risk</w:t>
      </w:r>
    </w:p>
    <w:p>
      <w:pPr>
        <w:pStyle w:val="TextBody"/>
        <w:bidi w:val="0"/>
        <w:spacing w:before="0" w:after="0"/>
        <w:ind w:left="0" w:right="0" w:firstLine="583"/>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Series C Preferred Stock includes triggering events that may require redemption at the option of the holders. These include:</w:t>
      </w:r>
    </w:p>
    <w:p>
      <w:pPr>
        <w:pStyle w:val="TextBody"/>
        <w:bidi w:val="0"/>
        <w:spacing w:before="0" w:after="0"/>
        <w:ind w:left="0" w:right="0" w:firstLine="583"/>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Redemption in cash at the greater of (i) 120% of the $1 stated value or (ii) the product of the variable weighted average price of our common stock and the stated value divided by the then-current conversion price; or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Redemption in common stock, calculated as the redemption amount divided by 75%.</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September 30, 2025, the aggregate stated value of our Series C Preferred Stock was $105. Triggering events include, among others, judgments exceeding $100,000 or the initiation of bankruptcy proceedings. If such events occur, we may be required to redeem the Series C Preferred Stock, which could result in a significant liquidity obligation that we may not be able to satisfy. Unpaid redemption amounts accrue interest at a rate of up to 18% per annum or the maximum rate permitted by law.</w:t>
      </w:r>
    </w:p>
    <w:p>
      <w:pPr>
        <w:pStyle w:val="TextBody"/>
        <w:bidi w:val="0"/>
        <w:spacing w:before="0" w:after="0"/>
        <w:ind w:left="0" w:right="0" w:firstLine="583"/>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Future Capital Requirements and Risks</w:t>
      </w:r>
    </w:p>
    <w:p>
      <w:pPr>
        <w:pStyle w:val="TextBody"/>
        <w:bidi w:val="0"/>
        <w:spacing w:before="0" w:after="0"/>
        <w:ind w:left="0" w:right="0" w:firstLine="583"/>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expect to continue incurring expenses related to:</w:t>
      </w:r>
    </w:p>
    <w:p>
      <w:pPr>
        <w:pStyle w:val="TextBody"/>
        <w:bidi w:val="0"/>
        <w:spacing w:before="0" w:after="0"/>
        <w:ind w:left="0" w:right="0" w:firstLine="583"/>
        <w:jc w:val="both"/>
        <w:rPr>
          <w:caps w:val="false"/>
          <w:smallCaps w:val="false"/>
        </w:rPr>
      </w:pPr>
      <w:r>
        <w:rPr>
          <w:caps w:val="false"/>
          <w:smallCaps w:val="false"/>
        </w:rPr>
        <w:t> </w:t>
      </w:r>
    </w:p>
    <w:tbl>
      <w:tblPr>
        <w:tblW w:w="9010" w:type="dxa"/>
        <w:jc w:val="left"/>
        <w:tblInd w:w="0" w:type="dxa"/>
        <w:tblLayout w:type="fixed"/>
        <w:tblCellMar>
          <w:top w:w="0" w:type="dxa"/>
          <w:left w:w="0" w:type="dxa"/>
          <w:bottom w:w="0" w:type="dxa"/>
          <w:right w:w="0" w:type="dxa"/>
        </w:tblCellMar>
      </w:tblPr>
      <w:tblGrid>
        <w:gridCol w:w="75"/>
        <w:gridCol w:w="170"/>
        <w:gridCol w:w="876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87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Commercialization of the PURE EP™ Platform</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87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Research and development of new product candidates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87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Clinical trials and regulatory activities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87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Expansion of business infrastructure and public company compliance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87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Integration and scaling of Streamex Exchange’s tokenization platform and digital asset infrastructure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87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Development of real-world asset (RWA) tokenization solutions, including commodities-on-chain initiatives</w:t>
            </w:r>
          </w:p>
        </w:tc>
      </w:tr>
    </w:tbl>
    <w:p>
      <w:pPr>
        <w:pStyle w:val="TextBody"/>
        <w:bidi w:val="0"/>
        <w:spacing w:before="0" w:after="0"/>
        <w:ind w:left="0" w:right="0" w:firstLine="583"/>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future capital requirements will depend on several factors, including:</w:t>
      </w:r>
    </w:p>
    <w:p>
      <w:pPr>
        <w:pStyle w:val="TextBody"/>
        <w:bidi w:val="0"/>
        <w:spacing w:before="0" w:after="0"/>
        <w:ind w:left="0" w:right="0" w:firstLine="583"/>
        <w:jc w:val="both"/>
        <w:rPr>
          <w:caps w:val="false"/>
          <w:smallCaps w:val="false"/>
        </w:rPr>
      </w:pPr>
      <w:r>
        <w:rPr>
          <w:caps w:val="false"/>
          <w:smallCaps w:val="false"/>
        </w:rPr>
        <w:t> </w:t>
      </w:r>
    </w:p>
    <w:tbl>
      <w:tblPr>
        <w:tblW w:w="9910" w:type="dxa"/>
        <w:jc w:val="left"/>
        <w:tblInd w:w="0" w:type="dxa"/>
        <w:tblLayout w:type="fixed"/>
        <w:tblCellMar>
          <w:top w:w="0" w:type="dxa"/>
          <w:left w:w="0" w:type="dxa"/>
          <w:bottom w:w="0" w:type="dxa"/>
          <w:right w:w="0" w:type="dxa"/>
        </w:tblCellMar>
      </w:tblPr>
      <w:tblGrid>
        <w:gridCol w:w="75"/>
        <w:gridCol w:w="170"/>
        <w:gridCol w:w="966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6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Progress and results of our R&amp;D programs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6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Timing and outcome of regulatory approvals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6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Costs associated with intellectual property protection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6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Market acceptance and commercialization success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6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Availability of financing and strategic partnerships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6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Execution of Streamex Exchange’s growth strategy within the global commodities and digital asset markets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6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Infrastructure and personnel investments required to support Streamex Exchange’s platform scalability and compliance</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7, 2025, the Company entered into two financing agreements to support its long-term capital needs: (i) a Senior Secured Convertible Debenture Purchase Agreement with YA II PN, Ltd. (“Yorkville”), pursuant to which the Company may issue up to $100 million in convertible debentures, and (ii) a Standby Equity Purchase Agreement (“SEPA”) with Yorkville, allowing the Company to sell up to $1 billion of common stock over a 36-month period.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13, 2025, the Company amended the agreement to revise the structure of the transaction. Under the amended terms, Yorkville will purchase two secured convertible debentures, each in the principal amount of $25 million. Additional secured convertible debentures totaling up to $50 million may be issued upon mutual agreement of the parties, at their sole discretion. The purchase price for each debenture remains 96% of its face value. The Convertible Debentures are convertible into shares of the Company’s common stock, subject to shareholder approval and customary closing conditions. The amendment also sets a floor price for conversions at 20% of the Nasdaq Official Closing Price immediately prior to the original agreement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Both agreements are subject to customary closing conditions, including stockholder approval and, in the case of the SEPA, the effectiveness of a registration statement. The Company may not access proceeds under the SEPA until any issued debentures have been repaid or converted, unless waived by Yorkville.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financing arrangements are part of management’s broader strategy to address liquidity needs and support commercialization, R&amp;D, and infrastructure expansion. However, there can be no assurance that the conditions to closing will be satisfied or that funding will be available on acceptable terms.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Future financing may include the issuance of equity or debt securities, credit facilities, or other arrangements. Any such financing could result in dilution to existing shareholders or the issuance of securities with rights senior to those of our common stock. Market volatility and macroeconomic conditions may also adversely affect our ability to raise capital on acceptable terms.</w:t>
      </w:r>
    </w:p>
    <w:p>
      <w:pPr>
        <w:pStyle w:val="TextBody"/>
        <w:bidi w:val="0"/>
        <w:spacing w:before="0" w:after="0"/>
        <w:ind w:left="0" w:right="0" w:firstLine="583"/>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are unable to obtain sufficient funding, we may be required to delay, reduce, or eliminate our research and development programs, scale back commercialization efforts, or enter into strategic arrangements that may require us to relinquish rights to certain technologies or products.</w:t>
      </w:r>
    </w:p>
    <w:p>
      <w:pPr>
        <w:pStyle w:val="TextBody"/>
        <w:bidi w:val="0"/>
        <w:spacing w:before="0" w:after="0"/>
        <w:ind w:left="0" w:right="0" w:firstLine="648"/>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36</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liquidity forecast includes assumptions regarding the timing of Streamex Exchange’s product launch, expected capital inflows, and cost containment measures. A sensitivity analysis indicates that delays in product commercialization or capital raising could materially impact the Company’s ability to continue as a going concern.</w:t>
      </w:r>
    </w:p>
    <w:p>
      <w:pPr>
        <w:pStyle w:val="TextBody"/>
        <w:bidi w:val="0"/>
        <w:spacing w:before="0" w:after="0"/>
        <w:ind w:left="0" w:right="0" w:firstLine="583"/>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Equity Financing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5, 2025, the Company entered into a securities purchase agreement with certain accredited investors pursuant to which the Company sold to the Investors an aggregate of 758,514 shares Common Stock at a purchase price of $1.07974 per share, and warrants to purchase up to 758,514 shares of Common Stock at an exercise price of $0.95474 per share, that will become exercisable six months after the date of issuance and will expire three and one-half years following the date of issuance, in exchange for aggregate consideration of $818,998.</w:t>
      </w:r>
    </w:p>
    <w:p>
      <w:pPr>
        <w:pStyle w:val="TextBody"/>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August 2025 Public Offering</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15, 2025, the Company completed a public offering of 3,852,149 shares of its common stock at a public offering price of $3.90 per share, generating gross proceeds of approximately $15.0 million before deducting underwriting discounts, commissions, and estimated offering expenses. Net proceeds from the offering were approximately $13.62 million.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ATM Sales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nine months ended September 30, 2025, the Company has sold 4,403,166 At The Market Offering Shares at an average offering price of $0.91 per share for aggregate gross proceeds of $4,019,063 or $3,882,420 net of fees of $136,643.</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Critical Accounting Estimates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prepare our unaudited condensed consolidated financial statements in accordance with GAAP, which require management to make estimates and assumptions that affect the reported amounts of assets, liabilities, revenues, expenses, and related disclosures. These estimates are based on historical experience, current conditions, and other factors that management believes to be reasonable under the circumstances. Actual results may differ materially from these estimates, and such differences could have a significant impact on our financial condition or results of operations.</w:t>
      </w:r>
    </w:p>
    <w:p>
      <w:pPr>
        <w:pStyle w:val="TextBody"/>
        <w:bidi w:val="0"/>
        <w:spacing w:before="0" w:after="0"/>
        <w:ind w:left="0" w:right="0" w:firstLine="648"/>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consider an accounting estimate to be critical if: (i) the accounting estimate requires us to make assumptions about matters that were highly uncertain at the time the accounting estimate was made, and (ii) changes in the estimate that are reasonably likely to occur from period to period or use of different estimates that we reasonably could have used in the current period, would have a material impact on our financial condition or results of operations. There are items within our unaudited condensed consolidated financial statements that require estimation but are not deemed critical, as defined above.</w:t>
      </w:r>
    </w:p>
    <w:p>
      <w:pPr>
        <w:pStyle w:val="TextBody"/>
        <w:bidi w:val="0"/>
        <w:spacing w:before="0" w:after="0"/>
        <w:ind w:left="0" w:right="0" w:firstLine="648"/>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September 30, 2025, the following accounting estimates are considered critical: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Valuation of Exchangeable Shares (Derivative Liability)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Nature of Estimate: </w:t>
      </w:r>
      <w:r>
        <w:rPr>
          <w:rFonts w:ascii="Times New Roman;Times;Serif" w:hAnsi="Times New Roman;Times;Serif"/>
          <w:b w:val="false"/>
          <w:i w:val="false"/>
          <w:caps w:val="false"/>
          <w:smallCaps w:val="false"/>
          <w:sz w:val="20"/>
        </w:rPr>
        <w:t xml:space="preserve">Exchangeable Shares issued in connection with the Streamex Exchange acquisition are classified as a derivative liability under </w:t>
      </w:r>
      <w:r>
        <w:rPr>
          <w:rFonts w:ascii="Times New Roman;Times;Serif" w:hAnsi="Times New Roman;Times;Serif"/>
          <w:b w:val="false"/>
          <w:i/>
          <w:caps w:val="false"/>
          <w:smallCaps w:val="false"/>
          <w:sz w:val="20"/>
        </w:rPr>
        <w:t>ASC 815</w:t>
      </w:r>
      <w:r>
        <w:rPr>
          <w:rFonts w:ascii="Times New Roman;Times;Serif" w:hAnsi="Times New Roman;Times;Serif"/>
          <w:b w:val="false"/>
          <w:i w:val="false"/>
          <w:caps w:val="false"/>
          <w:smallCaps w:val="false"/>
          <w:sz w:val="20"/>
        </w:rPr>
        <w:t xml:space="preserve"> due to contingent conversion rights.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Methodology:</w:t>
      </w:r>
      <w:r>
        <w:rPr>
          <w:rFonts w:ascii="Times New Roman;Times;Serif" w:hAnsi="Times New Roman;Times;Serif"/>
          <w:b w:val="false"/>
          <w:i w:val="false"/>
          <w:caps w:val="false"/>
          <w:smallCaps w:val="false"/>
          <w:sz w:val="20"/>
        </w:rPr>
        <w:t xml:space="preserve"> Fair value is estimated using a discounted cash flow model incorporating projected cash flows, a 40% discount rate, and a 3% terminal growth rate. The valuation uses Level 3 inputs due to the absence of observable market data.</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Estimation Uncertainty:</w:t>
      </w:r>
      <w:r>
        <w:rPr>
          <w:rFonts w:ascii="Times New Roman;Times;Serif" w:hAnsi="Times New Roman;Times;Serif"/>
          <w:b w:val="false"/>
          <w:i w:val="false"/>
          <w:caps w:val="false"/>
          <w:smallCaps w:val="false"/>
          <w:sz w:val="20"/>
        </w:rPr>
        <w:t xml:space="preserve"> The valuation is highly sensitive to assumptions regarding future performance, regulatory milestones, and shareholder approval timing.</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Historical Accuracy and Changes:</w:t>
      </w:r>
      <w:r>
        <w:rPr>
          <w:rFonts w:ascii="Times New Roman;Times;Serif" w:hAnsi="Times New Roman;Times;Serif"/>
          <w:b w:val="false"/>
          <w:i w:val="false"/>
          <w:caps w:val="false"/>
          <w:smallCaps w:val="false"/>
          <w:sz w:val="20"/>
        </w:rPr>
        <w:t xml:space="preserve"> As of September 30, 2025, the fair value of the derivative liability was $115.7 million resulting in change in derivate liability of $10.2 million recognized in other income (expense) on the statement of operations.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Drivers of Variability:</w:t>
      </w:r>
      <w:r>
        <w:rPr>
          <w:rFonts w:ascii="Times New Roman;Times;Serif" w:hAnsi="Times New Roman;Times;Serif"/>
          <w:b w:val="false"/>
          <w:i w:val="false"/>
          <w:caps w:val="false"/>
          <w:smallCaps w:val="false"/>
          <w:sz w:val="20"/>
        </w:rPr>
        <w:t xml:space="preserve"> Key drivers include commercialization timelines, macroeconomic conditions, and investor sentiment.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Future Sensitivity:</w:t>
      </w:r>
      <w:r>
        <w:rPr>
          <w:rFonts w:ascii="Times New Roman;Times;Serif" w:hAnsi="Times New Roman;Times;Serif"/>
          <w:b w:val="false"/>
          <w:i w:val="false"/>
          <w:caps w:val="false"/>
          <w:smallCaps w:val="false"/>
          <w:sz w:val="20"/>
        </w:rPr>
        <w:t xml:space="preserve"> If shareholder approval is not obtained by November 28, 2025, the exchange ratio will adjust from 1.0 to 1.25, which could require a material upward revision to the liability. However, on November 4, 2025, the Company received shareholder approval of the Parent Stockholder Matters. As a result, the conversion cap was removed, and Streamex Exchange shareholders may now convert their Exchangeable Shares into the Company’s common stock. Concurrently, the derivative liability associated with the Exchangeable Shares was reclassified to permanent equity. The final valuation will reflect this reclassification as of November 4, 2025.</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Purchase Price Allocation (PPA) for Streamex Exchange Acquisition</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Nature of Estimate:</w:t>
      </w:r>
      <w:r>
        <w:rPr>
          <w:rFonts w:ascii="Times New Roman;Times;Serif" w:hAnsi="Times New Roman;Times;Serif"/>
          <w:b w:val="false"/>
          <w:i w:val="false"/>
          <w:caps w:val="false"/>
          <w:smallCaps w:val="false"/>
          <w:sz w:val="20"/>
        </w:rPr>
        <w:t xml:space="preserve"> The allocation of purchase consideration to identifiable assets and liabilities involves significant judgment, particularly for intangible assets and goodwill.</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Methodology:</w:t>
      </w:r>
      <w:r>
        <w:rPr>
          <w:rFonts w:ascii="Times New Roman;Times;Serif" w:hAnsi="Times New Roman;Times;Serif"/>
          <w:b w:val="false"/>
          <w:i w:val="false"/>
          <w:caps w:val="false"/>
          <w:smallCaps w:val="false"/>
          <w:sz w:val="20"/>
        </w:rPr>
        <w:t xml:space="preserve"> We applied Level 3 valuation techniques under ASC 805, including the relief-from-royalty method for trade name, multi-period excess earnings method for developed technology, and cost approach for legal and compliance framework.</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Estimation Uncertainty:</w:t>
      </w:r>
      <w:r>
        <w:rPr>
          <w:rFonts w:ascii="Times New Roman;Times;Serif" w:hAnsi="Times New Roman;Times;Serif"/>
          <w:b w:val="false"/>
          <w:i w:val="false"/>
          <w:caps w:val="false"/>
          <w:smallCaps w:val="false"/>
          <w:sz w:val="20"/>
        </w:rPr>
        <w:t xml:space="preserve"> These valuations rely on unobservable inputs such as royalty rates (1%), discount rates (40%), and projected cash flows.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Historical Accuracy and Changes:</w:t>
      </w:r>
      <w:r>
        <w:rPr>
          <w:rFonts w:ascii="Times New Roman;Times;Serif" w:hAnsi="Times New Roman;Times;Serif"/>
          <w:b w:val="false"/>
          <w:i w:val="false"/>
          <w:caps w:val="false"/>
          <w:smallCaps w:val="false"/>
          <w:sz w:val="20"/>
        </w:rPr>
        <w:t xml:space="preserve"> The PPA remains preliminary as of September 30, 2025. No adjustments have been recorded during the measurement period.</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Drivers of Variability:</w:t>
      </w:r>
      <w:r>
        <w:rPr>
          <w:rFonts w:ascii="Times New Roman;Times;Serif" w:hAnsi="Times New Roman;Times;Serif"/>
          <w:b w:val="false"/>
          <w:i w:val="false"/>
          <w:caps w:val="false"/>
          <w:smallCaps w:val="false"/>
          <w:sz w:val="20"/>
        </w:rPr>
        <w:t xml:space="preserve"> Finalization of financial forecasts, market comparables, and tax amortization benefits may materially affect the allocation.</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Future Sensitivity:</w:t>
      </w:r>
      <w:r>
        <w:rPr>
          <w:rFonts w:ascii="Times New Roman;Times;Serif" w:hAnsi="Times New Roman;Times;Serif"/>
          <w:b w:val="false"/>
          <w:i w:val="false"/>
          <w:caps w:val="false"/>
          <w:smallCaps w:val="false"/>
          <w:sz w:val="20"/>
        </w:rPr>
        <w:t xml:space="preserve"> Adjustments to intangible asset values or recognition of contingent liabilities could materially impact goodwill and amortization expense.</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a detailed discussion of our significant accounting policies and related judgments, see Note 3 of the Notes to Unaudited Condensed Consolidated Financial Statements in “Item 1. Financial Statements” of this report.</w:t>
      </w:r>
    </w:p>
    <w:p>
      <w:pPr>
        <w:pStyle w:val="TextBody"/>
        <w:bidi w:val="0"/>
        <w:spacing w:before="0" w:after="0"/>
        <w:ind w:left="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37</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238" w:name="vv_009"/>
      <w:bookmarkEnd w:id="1238"/>
      <w:r>
        <w:rPr>
          <w:rFonts w:ascii="Times New Roman;Times;Serif" w:hAnsi="Times New Roman;Times;Serif"/>
          <w:b/>
          <w:i w:val="false"/>
          <w:caps w:val="false"/>
          <w:smallCaps w:val="false"/>
          <w:sz w:val="20"/>
        </w:rPr>
        <w:t>ITEM 3. QUANTITATIVE AND QUALITATIVE DISCLOSURES ABOUT MARKET RISK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required under Regulation S-K for “smaller reporting companies.”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239" w:name="vv_010"/>
      <w:bookmarkEnd w:id="1239"/>
      <w:r>
        <w:rPr>
          <w:rFonts w:ascii="Times New Roman;Times;Serif" w:hAnsi="Times New Roman;Times;Serif"/>
          <w:b/>
          <w:i w:val="false"/>
          <w:caps w:val="false"/>
          <w:smallCaps w:val="false"/>
          <w:sz w:val="20"/>
        </w:rPr>
        <w:t>ITEM 4. CONTROLS AND PROCEDURES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Management</w:t>
      </w: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s evaluation of disclosure controls and procedures.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management, with the participation of our Chief Executive Officer and Chief Financial Officer, evaluated the effectiveness of our disclosure controls and procedures pursuant to Rule 13a-15(e) under the Exchange Act. In designing and evaluating the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its judgment in evaluating the benefits of possible controls and procedures relative to their costs.</w:t>
      </w:r>
    </w:p>
    <w:p>
      <w:pPr>
        <w:pStyle w:val="TextBody"/>
        <w:bidi w:val="0"/>
        <w:spacing w:before="0" w:after="0"/>
        <w:ind w:left="0" w:right="0" w:firstLine="583"/>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management’s evaluation, our Chief Executive Officer and Chief Financial Officer concluded that our disclosure controls and procedures are not designed at a reasonable assurance level and are not effective in providing reasonable assurance that information we are required to disclose in reports that we file or submit under the Exchange Act is recorded, processed, summarized, and reported within the time periods specified in SEC rules and forms, and that such information is accumulated and communicated to our management, including our chief executive officer and chief financial officer, as appropriate, to allow timely decisions regarding required disclosure.</w:t>
      </w:r>
    </w:p>
    <w:p>
      <w:pPr>
        <w:pStyle w:val="TextBody"/>
        <w:bidi w:val="0"/>
        <w:spacing w:before="0" w:after="0"/>
        <w:ind w:left="0" w:right="0" w:firstLine="583"/>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Management</w:t>
      </w: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s report on internal control over financial reporting.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management is responsible for establishing and maintaining adequate internal control over financial reporting for our company. Internal control over financial reporting is defined in Rule 13a-15(f) and 15d-15(f) promulgated under the Exchange Act, as a process designed by, or under the supervision of, a company’s principal executive and principal financial officer and effected by the our board of directors, management and other personnel, to provide reasonable assurance regarding the reliability of financial reporting and the preparation of financial statements for external purposes in accordance with generally accepted accounting principles and includes those policies and procedures that:</w:t>
      </w:r>
    </w:p>
    <w:p>
      <w:pPr>
        <w:pStyle w:val="TextBody"/>
        <w:bidi w:val="0"/>
        <w:spacing w:before="0" w:after="0"/>
        <w:ind w:left="0" w:right="0" w:firstLine="583"/>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05"/>
        <w:gridCol w:w="992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pertain to the maintenance of records that, in reasonable detail, accurately and fairly reflect the transactions and dispositions of the assets of the company;</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5" w:type="dxa"/>
            <w:tcBorders/>
            <w:vAlign w:val="center"/>
          </w:tcPr>
          <w:p>
            <w:pPr>
              <w:pStyle w:val="TableContents"/>
              <w:bidi w:val="0"/>
              <w:spacing w:before="0" w:after="283"/>
              <w:jc w:val="left"/>
              <w:rPr>
                <w:caps w:val="false"/>
                <w:smallCaps w:val="false"/>
              </w:rPr>
            </w:pPr>
            <w:r>
              <w:rPr>
                <w:caps w:val="false"/>
                <w:smallCaps w:val="false"/>
              </w:rPr>
              <w:t> </w:t>
            </w:r>
          </w:p>
        </w:tc>
        <w:tc>
          <w:tcPr>
            <w:tcW w:w="992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provide reasonable assurance that transactions are recorded as necessary to permit preparation of financial statements in accordance with generally accepted accounting principles, and that receipts and expenditures of the company are being made in accordance with authorizations of management and directors of the company;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5" w:type="dxa"/>
            <w:tcBorders/>
            <w:vAlign w:val="center"/>
          </w:tcPr>
          <w:p>
            <w:pPr>
              <w:pStyle w:val="TableContents"/>
              <w:bidi w:val="0"/>
              <w:spacing w:before="0" w:after="283"/>
              <w:jc w:val="left"/>
              <w:rPr>
                <w:caps w:val="false"/>
                <w:smallCaps w:val="false"/>
              </w:rPr>
            </w:pPr>
            <w:r>
              <w:rPr>
                <w:caps w:val="false"/>
                <w:smallCaps w:val="false"/>
              </w:rPr>
              <w:t> </w:t>
            </w:r>
          </w:p>
        </w:tc>
        <w:tc>
          <w:tcPr>
            <w:tcW w:w="992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99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provide reasonable assurance regarding prevention or timely detection of unauthorized acquisition, use or disposition of the company’s assets that could have a material effect on the financial statements.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of its inherent limitations, internal control over financial reporting may not prevent or detect misstatements. Projections of any evaluation of effectiveness to future periods are subject to the risk that controls may become inadequate because of changes in conditions, or that the degree of compliance with the policies or procedures may deteriorate. Management recognizes that any controls and procedures, no matter how well designed and operated, can provide only reasonable assurance of achieving their objectives and management necessarily applies its judgment in evaluating the cost-benefit relationship of possible enhancements to controls and procedures.</w:t>
      </w:r>
    </w:p>
    <w:p>
      <w:pPr>
        <w:pStyle w:val="TextBody"/>
        <w:bidi w:val="0"/>
        <w:spacing w:before="0" w:after="0"/>
        <w:ind w:left="0" w:right="0" w:firstLine="583"/>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including our Chief Executive Officer and Chief Financial Officer, conducted an evaluation of the effectiveness of our internal control over financial reporting as of September 30, 2025, based on the criteria in a framework developed by the Company’s management pursuant to and in compliance with the criteria established in Internal Control – Integrated Framework (2013) issued by the Committee of Sponsoring Organizations (“COSO”) of the Treadway Commission. This evaluation included review of the documentation of controls, evaluation of the design effectiveness of controls, walkthroughs of the operating effectiveness of controls and a conclusion on this evaluation. Based on this evaluation, management has concluded that our internal control over financial reporting was not effective as of September 30, 2025, because management identified that i) inadequate identification, recording and reporting of stock based compensation, ii) ineffective review processes over period end financial disclosure and reporting, (iii) inadequate segregation of duties for transaction posting and processing, amounted to a material weakness in the Company’s internal control over financial reporting. and (iv)  ineffective review controls, over the accounting for business combinations and related financial instruments.</w:t>
      </w:r>
    </w:p>
    <w:p>
      <w:pPr>
        <w:pStyle w:val="TextBody"/>
        <w:bidi w:val="0"/>
        <w:spacing w:before="0" w:after="0"/>
        <w:ind w:left="0" w:right="0" w:firstLine="583"/>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38</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material weaknesses did not result in any identified misstatements to the consolidated financial statements and there were no changes to previously released financial results.</w:t>
      </w:r>
    </w:p>
    <w:p>
      <w:pPr>
        <w:pStyle w:val="TextBody"/>
        <w:bidi w:val="0"/>
        <w:spacing w:before="0" w:after="0"/>
        <w:ind w:left="0" w:right="0" w:firstLine="583"/>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Management</w:t>
      </w: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s Remediation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2026, we have intents to add sufficient staff and oversight supervision controls to provide adequate accounting segregation. We believe these changes will remediate the underlying deficiencies as identified by us. The remediation efforts will include an ongoing review of the implementation of additional controls to ensure all risks have been addressed.</w:t>
      </w:r>
    </w:p>
    <w:p>
      <w:pPr>
        <w:pStyle w:val="TextBody"/>
        <w:bidi w:val="0"/>
        <w:spacing w:before="0" w:after="0"/>
        <w:ind w:left="0" w:right="0" w:firstLine="583"/>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of the material weaknesses discussed above or of others, we may experience negative impacts on our ability to accurately report our results of operation and financial condition in a timely manner. If we do identify a material weakness in our internal control over financial reporting and are unsuccessful in implementing or following a remediation plan, or fail to update our internal control over financial reporting as our business evolves or to integrate acquired businesses into our controls system, if additional material weaknesses are found in our internal controls in the future, or if our external auditors cannot attest to the effectiveness of our internal control over financial review, if applicable, we may not be able to timely or accurately report our financial condition, results of operations or cash flows or to maintain effective disclosure controls and procedures. If we are unable to report financial information in a timely and accurate manner or to maintain effective disclosure controls and procedures, we could be subject to, among other things, regulatory or enforcement actions by the SEC, an inability for us to be accepted for listing on any national securities exchange in the near future, securities litigation and a general loss of investor confidence, any one of which could adversely affect our business prospects and the market value of our common stock. Further, there are inherent limitations to the effectiveness of any system of controls and procedures, including the possibility of human error and the circumvention or overriding of the controls and procedures. We could face additional litigation exposure and a greater likelihood of an SEC enforcement or other regulatory action if further restatements were to occur or other accounting-related problems emerge.</w:t>
      </w:r>
    </w:p>
    <w:p>
      <w:pPr>
        <w:pStyle w:val="TextBody"/>
        <w:bidi w:val="0"/>
        <w:spacing w:before="0" w:after="0"/>
        <w:ind w:left="0" w:right="0" w:firstLine="583"/>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weaknesses will not be considered remediated until the applicable controls operate for a sufficient period of time and management has concluded, through testing, that these controls are operating effectively.</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Changes in Internal Control over Financial Reporting</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for the identification of the material weakness related the ineffective review controls, over the accounting for business combinations and related financial instruments as discussed above, there has been no change in our internal control over financial reporting identified in connection with the evaluation referred to above that occurred during our last completed fiscal quarter that has materially negatively affected, or is reasonably likely to materially affect, our internal control over financial reporting. As discussed above, management intends to implement remediation plans in 2025.</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240" w:name="vv_011"/>
      <w:bookmarkEnd w:id="1240"/>
      <w:r>
        <w:rPr>
          <w:rFonts w:ascii="Times New Roman;Times;Serif" w:hAnsi="Times New Roman;Times;Serif"/>
          <w:b/>
          <w:i w:val="false"/>
          <w:caps w:val="false"/>
          <w:smallCaps w:val="false"/>
          <w:sz w:val="20"/>
        </w:rPr>
        <w:t>PART II. OTHER INFORMATION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241" w:name="vv_012"/>
      <w:bookmarkEnd w:id="1241"/>
      <w:r>
        <w:rPr>
          <w:rFonts w:ascii="Times New Roman;Times;Serif" w:hAnsi="Times New Roman;Times;Serif"/>
          <w:b/>
          <w:i w:val="false"/>
          <w:caps w:val="false"/>
          <w:smallCaps w:val="false"/>
          <w:sz w:val="20"/>
        </w:rPr>
        <w:t>ITEM 1. LEGAL PROCEEDINGS</w:t>
      </w:r>
    </w:p>
    <w:p>
      <w:pPr>
        <w:pStyle w:val="TextBody"/>
        <w:bidi w:val="0"/>
        <w:spacing w:before="0" w:after="0"/>
        <w:ind w:left="0" w:right="0" w:firstLine="648"/>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be subject at times to other legal proceedings and claims, which arise in the ordinary course of its business. Although occasional adverse decisions or settlements may occur, the Company believes that the final disposition of such matters should not have a material adverse effect on its financial position, results of operations or liquidity.</w:t>
      </w:r>
    </w:p>
    <w:p>
      <w:pPr>
        <w:pStyle w:val="TextBody"/>
        <w:bidi w:val="0"/>
        <w:spacing w:before="0" w:after="0"/>
        <w:ind w:left="0" w:right="0" w:firstLine="583"/>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Item 1 - Legal Proceedings” of our Quarterly Report on Form 10-Q for the quarterly period ended June 30, 2025, as filed on August 15, 2025 (the “June 2025 10-Q”), include a discussion of our legal proceedings. During the fiscal quarter ended September 30, 2025, there have been no material changes from the legal proceedings discussed in the June 2025 10-Q.</w:t>
      </w:r>
    </w:p>
    <w:p>
      <w:pPr>
        <w:pStyle w:val="TextBody"/>
        <w:bidi w:val="0"/>
        <w:spacing w:before="0" w:after="0"/>
        <w:ind w:left="0" w:right="0" w:firstLine="648"/>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242" w:name="vv_013"/>
      <w:bookmarkEnd w:id="1242"/>
      <w:r>
        <w:rPr>
          <w:rFonts w:ascii="Times New Roman;Times;Serif" w:hAnsi="Times New Roman;Times;Serif"/>
          <w:b/>
          <w:i w:val="false"/>
          <w:caps w:val="false"/>
          <w:smallCaps w:val="false"/>
          <w:sz w:val="20"/>
        </w:rPr>
        <w:t>ITEM 1A. RISK FACTORS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the other information contained elsewhere in this Quarterly Report on Form 10-Q, you should carefully consider the risk factors discussed in Part I, Item 1A. Risk Factors in our Annual Report on Form 10-K filed with the SEC on April 15, 2025, as well as the risk factors set forth in our Current Report on Form 8-K/A filed with the SEC on July 21, 2025 and in our Definitive Proxy Statement on Schedule 14A filed with the SEC on August 4, 2025.</w:t>
      </w:r>
    </w:p>
    <w:p>
      <w:pPr>
        <w:pStyle w:val="TextBody"/>
        <w:bidi w:val="0"/>
        <w:spacing w:before="0" w:after="0"/>
        <w:ind w:left="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39</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243" w:name="vv_014"/>
      <w:bookmarkEnd w:id="1243"/>
      <w:r>
        <w:rPr>
          <w:rFonts w:ascii="Times New Roman;Times;Serif" w:hAnsi="Times New Roman;Times;Serif"/>
          <w:b/>
          <w:i w:val="false"/>
          <w:caps w:val="false"/>
          <w:smallCaps w:val="false"/>
          <w:sz w:val="20"/>
        </w:rPr>
        <w:t>ITEM 2. UNREGISTERED SALES OF EQUITY SECURITIES, USE OF PROCEEDS, AND ISSUER PURCHASES OF EQUITY SECURITIES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64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three months ended September 30, 2025, the Company issued the following shares of its common stock in transactions not registered under the Securities Act of 1933, as amended (the “Securities Act”):</w:t>
      </w:r>
    </w:p>
    <w:p>
      <w:pPr>
        <w:pStyle w:val="TextBody"/>
        <w:bidi w:val="0"/>
        <w:spacing w:before="0" w:after="0"/>
        <w:ind w:left="0" w:right="0" w:firstLine="64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July 7, 2025: </w:t>
            </w:r>
            <w:r>
              <w:rPr>
                <w:rFonts w:ascii="Times New Roman;Times;Serif" w:hAnsi="Times New Roman;Times;Serif"/>
                <w:b w:val="false"/>
                <w:i w:val="false"/>
                <w:caps w:val="false"/>
                <w:smallCaps w:val="false"/>
                <w:sz w:val="20"/>
              </w:rPr>
              <w:t>Issued 450,987 shares of common stock upon cashless exercise of warrants to purchase 524,412 shares at a weighted average exercise price of $12.76 per share.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July 8, 2025: </w:t>
            </w:r>
            <w:r>
              <w:rPr>
                <w:rFonts w:ascii="Times New Roman;Times;Serif" w:hAnsi="Times New Roman;Times;Serif"/>
                <w:b w:val="false"/>
                <w:i w:val="false"/>
                <w:caps w:val="false"/>
                <w:smallCaps w:val="false"/>
                <w:sz w:val="20"/>
              </w:rPr>
              <w:t>Issued 82,537 shares of common stock upon cashless exercise of warrants to purchase 171,849 shares at an a weighted average exercise price of $11.79 per share.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August 8, 2025:</w:t>
            </w:r>
            <w:r>
              <w:rPr>
                <w:rFonts w:ascii="Times New Roman;Times;Serif" w:hAnsi="Times New Roman;Times;Serif"/>
                <w:b w:val="false"/>
                <w:i w:val="false"/>
                <w:caps w:val="false"/>
                <w:smallCaps w:val="false"/>
                <w:sz w:val="20"/>
              </w:rPr>
              <w:t xml:space="preserve"> Issued 92,136 shares of common stock upon cashless exercise of warrants to purchase 100,000 shares at an exercise price of $3.82 per share.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August 19, 2025:</w:t>
            </w:r>
            <w:r>
              <w:rPr>
                <w:rFonts w:ascii="Times New Roman;Times;Serif" w:hAnsi="Times New Roman;Times;Serif"/>
                <w:b w:val="false"/>
                <w:i w:val="false"/>
                <w:caps w:val="false"/>
                <w:smallCaps w:val="false"/>
                <w:sz w:val="20"/>
              </w:rPr>
              <w:t xml:space="preserve"> Issued 69,841 shares of common stock upon cashless exercise of warrants to purchase 74,312 shares at an exercise price of $4.99 per share.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August 26, 2025:</w:t>
            </w:r>
            <w:r>
              <w:rPr>
                <w:rFonts w:ascii="Times New Roman;Times;Serif" w:hAnsi="Times New Roman;Times;Serif"/>
                <w:b w:val="false"/>
                <w:i w:val="false"/>
                <w:caps w:val="false"/>
                <w:smallCaps w:val="false"/>
                <w:sz w:val="20"/>
              </w:rPr>
              <w:t xml:space="preserve"> Issued 100 shares of common stock upon cashless exercise of warrants to purchase 600 shares at an exercise price of $5.34 per share.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September 5, 2025:</w:t>
            </w:r>
            <w:r>
              <w:rPr>
                <w:rFonts w:ascii="Times New Roman;Times;Serif" w:hAnsi="Times New Roman;Times;Serif"/>
                <w:b w:val="false"/>
                <w:i w:val="false"/>
                <w:caps w:val="false"/>
                <w:smallCaps w:val="false"/>
                <w:sz w:val="20"/>
              </w:rPr>
              <w:t xml:space="preserve"> Issued 36,666 shares of common stock upon cashless exercise of warrants to purchase 46,307 shares at an exercise price of $4.59 per share.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September 8, 2025:</w:t>
            </w:r>
            <w:r>
              <w:rPr>
                <w:rFonts w:ascii="Times New Roman;Times;Serif" w:hAnsi="Times New Roman;Times;Serif"/>
                <w:b w:val="false"/>
                <w:i w:val="false"/>
                <w:caps w:val="false"/>
                <w:smallCaps w:val="false"/>
                <w:sz w:val="20"/>
              </w:rPr>
              <w:t xml:space="preserve"> Issued 40,000 shares of common stock to consultant for services rendered, valued at $155,200.</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September 12, 2025:</w:t>
            </w:r>
            <w:r>
              <w:rPr>
                <w:rFonts w:ascii="Times New Roman;Times;Serif" w:hAnsi="Times New Roman;Times;Serif"/>
                <w:b w:val="false"/>
                <w:i w:val="false"/>
                <w:caps w:val="false"/>
                <w:smallCaps w:val="false"/>
                <w:sz w:val="20"/>
              </w:rPr>
              <w:t xml:space="preserve"> Issued 38,808 shares of common stock upon cashless exercise of warrants to purchase 46,307 shares at an exercise price of $5.90 per share.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September 17, 2025:</w:t>
            </w:r>
            <w:r>
              <w:rPr>
                <w:rFonts w:ascii="Times New Roman;Times;Serif" w:hAnsi="Times New Roman;Times;Serif"/>
                <w:b w:val="false"/>
                <w:i w:val="false"/>
                <w:caps w:val="false"/>
                <w:smallCaps w:val="false"/>
                <w:sz w:val="20"/>
              </w:rPr>
              <w:t xml:space="preserve"> Issued 5,845 shares of common stock upon cashless exercise of warrants to purchase 12,535 shares at an exercise price of $6.30 per share.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of the above issuances were made in reliance on the exemption from registration provided by Section 4(a)(2) of the Securities Act and/or Rule 506 of Regulation D, as applicable. These transactions did not involve any public offering, and the recipients represented their intent to acquire the securities for investment purposes only and not with a view to distribution.</w:t>
      </w:r>
    </w:p>
    <w:p>
      <w:pPr>
        <w:pStyle w:val="TextBody"/>
        <w:bidi w:val="0"/>
        <w:spacing w:before="0" w:after="0"/>
        <w:ind w:left="0" w:right="0" w:hanging="0"/>
        <w:jc w:val="center"/>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40</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244" w:name="vv_015"/>
      <w:bookmarkEnd w:id="1244"/>
      <w:r>
        <w:rPr>
          <w:rFonts w:ascii="Times New Roman;Times;Serif" w:hAnsi="Times New Roman;Times;Serif"/>
          <w:b/>
          <w:i w:val="false"/>
          <w:caps w:val="false"/>
          <w:smallCaps w:val="false"/>
          <w:sz w:val="20"/>
        </w:rPr>
        <w:t>ITEM 3. DEFAULTS UPON SENIOR SECURITIES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245" w:name="vv_016"/>
      <w:bookmarkEnd w:id="1245"/>
      <w:r>
        <w:rPr>
          <w:rFonts w:ascii="Times New Roman;Times;Serif" w:hAnsi="Times New Roman;Times;Serif"/>
          <w:b/>
          <w:i w:val="false"/>
          <w:caps w:val="false"/>
          <w:smallCaps w:val="false"/>
          <w:sz w:val="20"/>
        </w:rPr>
        <w:t>ITEM 4. MINE SAFETY DISCLOSURES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246" w:name="vv_017"/>
      <w:bookmarkEnd w:id="1246"/>
      <w:r>
        <w:rPr>
          <w:rFonts w:ascii="Times New Roman;Times;Serif" w:hAnsi="Times New Roman;Times;Serif"/>
          <w:b/>
          <w:i w:val="false"/>
          <w:caps w:val="false"/>
          <w:smallCaps w:val="false"/>
          <w:sz w:val="20"/>
        </w:rPr>
        <w:t>ITEM 5. OTHER INFORMATION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247" w:name="vv_018"/>
      <w:bookmarkEnd w:id="1247"/>
      <w:r>
        <w:rPr>
          <w:rFonts w:ascii="Times New Roman;Times;Serif" w:hAnsi="Times New Roman;Times;Serif"/>
          <w:b/>
          <w:i w:val="false"/>
          <w:caps w:val="false"/>
          <w:smallCaps w:val="false"/>
          <w:sz w:val="20"/>
        </w:rPr>
        <w:t>ITEM 6. EXHIBITS</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819"/>
        <w:gridCol w:w="60"/>
        <w:gridCol w:w="9326"/>
      </w:tblGrid>
      <w:tr>
        <w:trPr/>
        <w:tc>
          <w:tcPr>
            <w:tcW w:w="819"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No.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26" w:type="dxa"/>
            <w:tcBorders>
              <w:bottom w:val="single" w:sz="8" w:space="0" w:color="000000"/>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w:t>
            </w:r>
          </w:p>
        </w:tc>
      </w:tr>
      <w:tr>
        <w:trPr/>
        <w:tc>
          <w:tcPr>
            <w:tcW w:w="819"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26" w:type="dxa"/>
            <w:tcBorders/>
            <w:tcMar>
              <w:bottom w:w="0" w:type="dxa"/>
            </w:tcMar>
            <w:vAlign w:val="center"/>
          </w:tcPr>
          <w:p>
            <w:pPr>
              <w:pStyle w:val="TableContents"/>
              <w:bidi w:val="0"/>
              <w:spacing w:before="0" w:after="283"/>
              <w:jc w:val="both"/>
              <w:rPr/>
            </w:pPr>
            <w:hyperlink r:id="rId2">
              <w:r>
                <w:rPr>
                  <w:rStyle w:val="InternetLink"/>
                  <w:rFonts w:ascii="Times New Roman;Times;Serif" w:hAnsi="Times New Roman;Times;Serif"/>
                  <w:b w:val="false"/>
                  <w:i w:val="false"/>
                  <w:caps w:val="false"/>
                  <w:smallCaps w:val="false"/>
                  <w:sz w:val="20"/>
                </w:rPr>
                <w:t>Ninth Certificate of Amendment (incorporated by reference to Exhibit 3.1 to the Company’s Current Report on Form 8-K filed on September 5, 2025)</w:t>
              </w:r>
            </w:hyperlink>
          </w:p>
        </w:tc>
      </w:tr>
      <w:tr>
        <w:trPr/>
        <w:tc>
          <w:tcPr>
            <w:tcW w:w="819"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26" w:type="dxa"/>
            <w:tcBorders/>
            <w:tcMar>
              <w:bottom w:w="0" w:type="dxa"/>
            </w:tcMar>
            <w:vAlign w:val="center"/>
          </w:tcPr>
          <w:p>
            <w:pPr>
              <w:pStyle w:val="TableContents"/>
              <w:bidi w:val="0"/>
              <w:spacing w:before="0" w:after="283"/>
              <w:jc w:val="both"/>
              <w:rPr/>
            </w:pPr>
            <w:hyperlink r:id="rId3">
              <w:r>
                <w:rPr>
                  <w:rStyle w:val="InternetLink"/>
                  <w:rFonts w:ascii="Times New Roman;Times;Serif" w:hAnsi="Times New Roman;Times;Serif"/>
                  <w:b w:val="false"/>
                  <w:i w:val="false"/>
                  <w:caps w:val="false"/>
                  <w:smallCaps w:val="false"/>
                  <w:sz w:val="20"/>
                </w:rPr>
                <w:t>Certificate of Amendment of Amended And Restated Certificate Of Incorporation of BioSig Technologies, Inc. (incorporated by reference to Exhibit 3.1 to the Company’s Current Report on Form 8-K filed on September 11, 2025)</w:t>
              </w:r>
            </w:hyperlink>
          </w:p>
        </w:tc>
      </w:tr>
      <w:tr>
        <w:trPr/>
        <w:tc>
          <w:tcPr>
            <w:tcW w:w="819"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26" w:type="dxa"/>
            <w:tcBorders/>
            <w:tcMar>
              <w:bottom w:w="0" w:type="dxa"/>
            </w:tcMar>
            <w:vAlign w:val="center"/>
          </w:tcPr>
          <w:p>
            <w:pPr>
              <w:pStyle w:val="TableContents"/>
              <w:bidi w:val="0"/>
              <w:spacing w:before="0" w:after="283"/>
              <w:jc w:val="both"/>
              <w:rPr/>
            </w:pPr>
            <w:hyperlink r:id="rId4">
              <w:r>
                <w:rPr>
                  <w:rStyle w:val="InternetLink"/>
                  <w:rFonts w:ascii="Times New Roman;Times;Serif" w:hAnsi="Times New Roman;Times;Serif"/>
                  <w:b w:val="false"/>
                  <w:i w:val="false"/>
                  <w:caps w:val="false"/>
                  <w:smallCaps w:val="false"/>
                  <w:sz w:val="20"/>
                </w:rPr>
                <w:t>Secured Convertible Debenture Purchase Agreement, dated as of July 7, 2025, between the Company and YA II PN, Ltd. (incorporated by reference to Exhibit 10.1 to the Company’s Current Report on Form 8-K filed on July 9, 2025)</w:t>
              </w:r>
            </w:hyperlink>
          </w:p>
        </w:tc>
      </w:tr>
      <w:tr>
        <w:trPr/>
        <w:tc>
          <w:tcPr>
            <w:tcW w:w="819"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26" w:type="dxa"/>
            <w:tcBorders/>
            <w:tcMar>
              <w:bottom w:w="0" w:type="dxa"/>
            </w:tcMar>
            <w:vAlign w:val="center"/>
          </w:tcPr>
          <w:p>
            <w:pPr>
              <w:pStyle w:val="TableContents"/>
              <w:bidi w:val="0"/>
              <w:spacing w:before="0" w:after="283"/>
              <w:jc w:val="both"/>
              <w:rPr/>
            </w:pPr>
            <w:hyperlink r:id="rId5">
              <w:r>
                <w:rPr>
                  <w:rStyle w:val="InternetLink"/>
                  <w:rFonts w:ascii="Times New Roman;Times;Serif" w:hAnsi="Times New Roman;Times;Serif"/>
                  <w:b w:val="false"/>
                  <w:i w:val="false"/>
                  <w:caps w:val="false"/>
                  <w:smallCaps w:val="false"/>
                  <w:sz w:val="20"/>
                </w:rPr>
                <w:t>Standby Equity Purchase Agreement, dated as of July 7, 2025, between Company and YA II PN, Ltd. (incorporated by reference to Exhibit 10.2 to the Company’s Current Report on Form 8-K filed on July 9, 2025)</w:t>
              </w:r>
            </w:hyperlink>
            <w:r>
              <w:rPr>
                <w:rFonts w:ascii="Times New Roman;Times;Serif" w:hAnsi="Times New Roman;Times;Serif"/>
                <w:b w:val="false"/>
                <w:i w:val="false"/>
                <w:caps w:val="false"/>
                <w:smallCaps w:val="false"/>
                <w:sz w:val="20"/>
              </w:rPr>
              <w:t xml:space="preserve"> </w:t>
            </w:r>
          </w:p>
        </w:tc>
      </w:tr>
      <w:tr>
        <w:trPr/>
        <w:tc>
          <w:tcPr>
            <w:tcW w:w="819"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26" w:type="dxa"/>
            <w:tcBorders/>
            <w:tcMar>
              <w:bottom w:w="0" w:type="dxa"/>
            </w:tcMar>
            <w:vAlign w:val="center"/>
          </w:tcPr>
          <w:p>
            <w:pPr>
              <w:pStyle w:val="TableContents"/>
              <w:bidi w:val="0"/>
              <w:spacing w:before="0" w:after="283"/>
              <w:jc w:val="both"/>
              <w:rPr/>
            </w:pPr>
            <w:hyperlink r:id="rId6">
              <w:r>
                <w:rPr>
                  <w:rStyle w:val="InternetLink"/>
                  <w:rFonts w:ascii="Times New Roman;Times;Serif" w:hAnsi="Times New Roman;Times;Serif"/>
                  <w:b w:val="false"/>
                  <w:i w:val="false"/>
                  <w:caps w:val="false"/>
                  <w:smallCaps w:val="false"/>
                  <w:sz w:val="20"/>
                </w:rPr>
                <w:t>Form of Registration Rights Agreement, by and between Company and YA II PN, Ltd. (incorporated by reference to Exhibit 10.2 to the Company’s Current Report on Form 8-K filed on July 9, 2025)</w:t>
              </w:r>
            </w:hyperlink>
            <w:r>
              <w:rPr>
                <w:rFonts w:ascii="Times New Roman;Times;Serif" w:hAnsi="Times New Roman;Times;Serif"/>
                <w:b w:val="false"/>
                <w:i w:val="false"/>
                <w:caps w:val="false"/>
                <w:smallCaps w:val="false"/>
                <w:sz w:val="20"/>
              </w:rPr>
              <w:t xml:space="preserve"> </w:t>
            </w:r>
          </w:p>
        </w:tc>
      </w:tr>
      <w:tr>
        <w:trPr/>
        <w:tc>
          <w:tcPr>
            <w:tcW w:w="819"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26" w:type="dxa"/>
            <w:tcBorders/>
            <w:tcMar>
              <w:bottom w:w="0" w:type="dxa"/>
            </w:tcMar>
            <w:vAlign w:val="center"/>
          </w:tcPr>
          <w:p>
            <w:pPr>
              <w:pStyle w:val="TableContents"/>
              <w:bidi w:val="0"/>
              <w:spacing w:before="0" w:after="283"/>
              <w:jc w:val="both"/>
              <w:rPr/>
            </w:pPr>
            <w:hyperlink r:id="rId7">
              <w:r>
                <w:rPr>
                  <w:rStyle w:val="InternetLink"/>
                  <w:rFonts w:ascii="Times New Roman;Times;Serif" w:hAnsi="Times New Roman;Times;Serif"/>
                  <w:b w:val="false"/>
                  <w:i w:val="false"/>
                  <w:caps w:val="false"/>
                  <w:smallCaps w:val="false"/>
                  <w:sz w:val="20"/>
                </w:rPr>
                <w:t>Amendment to Secured Convertible Debenture Purchase Agreement, dated as of August 13, 2025, between the Company and YA II PN, Ltd. (incorporated by reference to Exhibit 10.1 to the Company’s Current Report on Form 8-K filed on August 13, 2025)</w:t>
              </w:r>
            </w:hyperlink>
            <w:r>
              <w:rPr>
                <w:rFonts w:ascii="Times New Roman;Times;Serif" w:hAnsi="Times New Roman;Times;Serif"/>
                <w:b w:val="false"/>
                <w:i w:val="false"/>
                <w:caps w:val="false"/>
                <w:smallCaps w:val="false"/>
                <w:sz w:val="20"/>
              </w:rPr>
              <w:t xml:space="preserve"> </w:t>
            </w:r>
          </w:p>
        </w:tc>
      </w:tr>
      <w:tr>
        <w:trPr/>
        <w:tc>
          <w:tcPr>
            <w:tcW w:w="819"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10.5</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26" w:type="dxa"/>
            <w:tcBorders/>
            <w:tcMar>
              <w:bottom w:w="0" w:type="dxa"/>
            </w:tcMar>
            <w:vAlign w:val="center"/>
          </w:tcPr>
          <w:p>
            <w:pPr>
              <w:pStyle w:val="TableContents"/>
              <w:bidi w:val="0"/>
              <w:spacing w:before="0" w:after="283"/>
              <w:jc w:val="both"/>
              <w:rPr/>
            </w:pPr>
            <w:hyperlink r:id="rId8">
              <w:r>
                <w:rPr>
                  <w:rStyle w:val="InternetLink"/>
                  <w:rFonts w:ascii="Times New Roman;Times;Serif" w:hAnsi="Times New Roman;Times;Serif"/>
                  <w:b w:val="false"/>
                  <w:i w:val="false"/>
                  <w:caps w:val="false"/>
                  <w:smallCaps w:val="false"/>
                  <w:sz w:val="20"/>
                </w:rPr>
                <w:t>Tokenized Yield Partnership Agreement, dated as of September 8, 2025, between BioSig Technologies, Inc. and Monetary Metals &amp; Co. (incorporated by reference to Exhibit 10.1 to the Company’s Current Report on Form 8-K filed on September 8, 2025)</w:t>
              </w:r>
            </w:hyperlink>
          </w:p>
        </w:tc>
      </w:tr>
      <w:tr>
        <w:trPr/>
        <w:tc>
          <w:tcPr>
            <w:tcW w:w="819"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31.1*</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26" w:type="dxa"/>
            <w:tcBorders/>
            <w:tcMar>
              <w:bottom w:w="0" w:type="dxa"/>
            </w:tcMar>
            <w:vAlign w:val="center"/>
          </w:tcPr>
          <w:p>
            <w:pPr>
              <w:pStyle w:val="TableContents"/>
              <w:bidi w:val="0"/>
              <w:spacing w:before="0" w:after="283"/>
              <w:jc w:val="both"/>
              <w:rPr/>
            </w:pPr>
            <w:hyperlink w:anchor="ex31-1.htm">
              <w:r>
                <w:rPr>
                  <w:rStyle w:val="InternetLink"/>
                  <w:rFonts w:ascii="Times New Roman;Times;Serif" w:hAnsi="Times New Roman;Times;Serif"/>
                  <w:b w:val="false"/>
                  <w:i w:val="false"/>
                  <w:caps w:val="false"/>
                  <w:smallCaps w:val="false"/>
                  <w:sz w:val="20"/>
                </w:rPr>
                <w:t>Certification of Chief Executive Officer pursuant to Exchange Act Rules 13a-14(a) and 15d-14(a), as adopted pursuant to Section 302 of the Sarbanes-Oxley Act of 2002</w:t>
              </w:r>
            </w:hyperlink>
          </w:p>
        </w:tc>
      </w:tr>
      <w:tr>
        <w:trPr/>
        <w:tc>
          <w:tcPr>
            <w:tcW w:w="819"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31.2*</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26" w:type="dxa"/>
            <w:tcBorders/>
            <w:tcMar>
              <w:bottom w:w="0" w:type="dxa"/>
            </w:tcMar>
            <w:vAlign w:val="center"/>
          </w:tcPr>
          <w:p>
            <w:pPr>
              <w:pStyle w:val="TableContents"/>
              <w:bidi w:val="0"/>
              <w:spacing w:before="0" w:after="283"/>
              <w:jc w:val="both"/>
              <w:rPr/>
            </w:pPr>
            <w:hyperlink w:anchor="ex31-2.htm">
              <w:r>
                <w:rPr>
                  <w:rStyle w:val="InternetLink"/>
                  <w:rFonts w:ascii="Times New Roman;Times;Serif" w:hAnsi="Times New Roman;Times;Serif"/>
                  <w:b w:val="false"/>
                  <w:i w:val="false"/>
                  <w:caps w:val="false"/>
                  <w:smallCaps w:val="false"/>
                  <w:sz w:val="20"/>
                </w:rPr>
                <w:t>Certification of Chief Financial Officer pursuant to Exchange Act Rules 13a-14(a) and 15d-14(a), as adopted pursuant to Section 302 of the Sarbanes-Oxley Act of 2002</w:t>
              </w:r>
            </w:hyperlink>
          </w:p>
        </w:tc>
      </w:tr>
      <w:tr>
        <w:trPr/>
        <w:tc>
          <w:tcPr>
            <w:tcW w:w="819"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32.1**</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26" w:type="dxa"/>
            <w:tcBorders/>
            <w:tcMar>
              <w:bottom w:w="0" w:type="dxa"/>
            </w:tcMar>
            <w:vAlign w:val="center"/>
          </w:tcPr>
          <w:p>
            <w:pPr>
              <w:pStyle w:val="TableContents"/>
              <w:bidi w:val="0"/>
              <w:spacing w:before="0" w:after="283"/>
              <w:jc w:val="both"/>
              <w:rPr/>
            </w:pPr>
            <w:hyperlink w:anchor="ex32-1.htm">
              <w:r>
                <w:rPr>
                  <w:rStyle w:val="InternetLink"/>
                  <w:rFonts w:ascii="Times New Roman;Times;Serif" w:hAnsi="Times New Roman;Times;Serif"/>
                  <w:b w:val="false"/>
                  <w:i w:val="false"/>
                  <w:caps w:val="false"/>
                  <w:smallCaps w:val="false"/>
                  <w:sz w:val="20"/>
                </w:rPr>
                <w:t>Certification of Chief Executive Officer and Chief Financial Officer pursuant to 18 U.S.C. Section 1350, as adopted pursuant to Section 906 of the Sarbanes-Oxley Act of 2002</w:t>
              </w:r>
            </w:hyperlink>
          </w:p>
        </w:tc>
      </w:tr>
      <w:tr>
        <w:trPr/>
        <w:tc>
          <w:tcPr>
            <w:tcW w:w="819"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 INS*</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26"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Inline XBRL Instance Document</w:t>
            </w:r>
          </w:p>
        </w:tc>
      </w:tr>
      <w:tr>
        <w:trPr/>
        <w:tc>
          <w:tcPr>
            <w:tcW w:w="819"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 SCH*</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26"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Inline XBRL Taxonomy Extension Schema Document</w:t>
            </w:r>
          </w:p>
        </w:tc>
      </w:tr>
      <w:tr>
        <w:trPr/>
        <w:tc>
          <w:tcPr>
            <w:tcW w:w="819"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 CAL*</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26"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Inline XBRL Taxonomy Calculation Linkbase Document</w:t>
            </w:r>
          </w:p>
        </w:tc>
      </w:tr>
      <w:tr>
        <w:trPr/>
        <w:tc>
          <w:tcPr>
            <w:tcW w:w="819"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 LAB*</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26"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Inline XBRL Taxonomy Labels Linkbase Document</w:t>
            </w:r>
          </w:p>
        </w:tc>
      </w:tr>
      <w:tr>
        <w:trPr/>
        <w:tc>
          <w:tcPr>
            <w:tcW w:w="819"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 PRE*</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26"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Inline XBRL Taxonomy Presentation Linkbase Document</w:t>
            </w:r>
          </w:p>
        </w:tc>
      </w:tr>
      <w:tr>
        <w:trPr/>
        <w:tc>
          <w:tcPr>
            <w:tcW w:w="819"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 DEF*</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26"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Inline XBRL Taxonomy Extension Definition Linkbase Document</w:t>
            </w:r>
          </w:p>
        </w:tc>
      </w:tr>
      <w:tr>
        <w:trPr/>
        <w:tc>
          <w:tcPr>
            <w:tcW w:w="819"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26"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Cover Page Interactive Data File (formatted as Inline XBRL and contained in Exhibit 101)</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Filed herewith.</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Furnished herewith.</w:t>
      </w:r>
    </w:p>
    <w:p>
      <w:pPr>
        <w:pStyle w:val="TextBody"/>
        <w:bidi w:val="0"/>
        <w:spacing w:before="0" w:after="0"/>
        <w:ind w:left="0" w:right="0" w:hanging="0"/>
        <w:jc w:val="center"/>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41</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248" w:name="vv_019"/>
      <w:bookmarkEnd w:id="1248"/>
      <w:r>
        <w:rPr>
          <w:rFonts w:ascii="Times New Roman;Times;Serif" w:hAnsi="Times New Roman;Times;Serif"/>
          <w:b/>
          <w:i w:val="false"/>
          <w:caps w:val="false"/>
          <w:smallCaps w:val="false"/>
          <w:sz w:val="20"/>
        </w:rPr>
        <w:t>SIGNATURES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center"/>
        <w:rPr>
          <w:caps w:val="false"/>
          <w:smallCaps w:val="false"/>
        </w:rPr>
      </w:pPr>
      <w:r>
        <w:rPr>
          <w:caps w:val="false"/>
          <w:smallCaps w:val="false"/>
        </w:rPr>
        <w:t> </w:t>
      </w:r>
    </w:p>
    <w:tbl>
      <w:tblPr>
        <w:tblW w:w="7440" w:type="dxa"/>
        <w:jc w:val="left"/>
        <w:tblInd w:w="0" w:type="dxa"/>
        <w:tblLayout w:type="fixed"/>
        <w:tblCellMar>
          <w:top w:w="0" w:type="dxa"/>
          <w:left w:w="0" w:type="dxa"/>
          <w:bottom w:w="0" w:type="dxa"/>
          <w:right w:w="0" w:type="dxa"/>
        </w:tblCellMar>
      </w:tblPr>
      <w:tblGrid>
        <w:gridCol w:w="2120"/>
        <w:gridCol w:w="320"/>
        <w:gridCol w:w="5000"/>
      </w:tblGrid>
      <w:tr>
        <w:trPr/>
        <w:tc>
          <w:tcPr>
            <w:tcW w:w="2120" w:type="dxa"/>
            <w:tcBorders/>
            <w:vAlign w:val="center"/>
          </w:tcPr>
          <w:p>
            <w:pPr>
              <w:pStyle w:val="TableContents"/>
              <w:bidi w:val="0"/>
              <w:spacing w:before="0" w:after="283"/>
              <w:jc w:val="left"/>
              <w:rPr>
                <w:caps w:val="false"/>
                <w:smallCaps w:val="false"/>
              </w:rPr>
            </w:pPr>
            <w:r>
              <w:rPr>
                <w:caps w:val="false"/>
                <w:smallCaps w:val="false"/>
              </w:rPr>
              <w:t> </w:t>
            </w:r>
          </w:p>
        </w:tc>
        <w:tc>
          <w:tcPr>
            <w:tcW w:w="5320" w:type="dxa"/>
            <w:gridSpan w:val="2"/>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STREAMEX CORP.</w:t>
            </w:r>
          </w:p>
        </w:tc>
      </w:tr>
      <w:tr>
        <w:trPr/>
        <w:tc>
          <w:tcPr>
            <w:tcW w:w="2120"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both"/>
              <w:rPr>
                <w:caps w:val="false"/>
                <w:smallCaps w:val="false"/>
              </w:rPr>
            </w:pPr>
            <w:r>
              <w:rPr>
                <w:caps w:val="false"/>
                <w:smallCaps w:val="false"/>
              </w:rPr>
              <w:t> </w:t>
            </w:r>
          </w:p>
        </w:tc>
        <w:tc>
          <w:tcPr>
            <w:tcW w:w="500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1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November 14, 2025</w:t>
            </w:r>
          </w:p>
        </w:tc>
        <w:tc>
          <w:tcPr>
            <w:tcW w:w="3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5000" w:type="dxa"/>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Henry McPhie</w:t>
            </w:r>
          </w:p>
        </w:tc>
      </w:tr>
      <w:tr>
        <w:trPr/>
        <w:tc>
          <w:tcPr>
            <w:tcW w:w="2120"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both"/>
              <w:rPr>
                <w:caps w:val="false"/>
                <w:smallCaps w:val="false"/>
              </w:rPr>
            </w:pPr>
            <w:r>
              <w:rPr>
                <w:caps w:val="false"/>
                <w:smallCaps w:val="false"/>
              </w:rPr>
              <w:t> </w:t>
            </w:r>
          </w:p>
        </w:tc>
        <w:tc>
          <w:tcPr>
            <w:tcW w:w="50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Henry McPhie</w:t>
            </w:r>
          </w:p>
        </w:tc>
      </w:tr>
      <w:tr>
        <w:trPr/>
        <w:tc>
          <w:tcPr>
            <w:tcW w:w="2120"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both"/>
              <w:rPr>
                <w:caps w:val="false"/>
                <w:smallCaps w:val="false"/>
              </w:rPr>
            </w:pPr>
            <w:r>
              <w:rPr>
                <w:caps w:val="false"/>
                <w:smallCaps w:val="false"/>
              </w:rPr>
              <w:t> </w:t>
            </w:r>
          </w:p>
        </w:tc>
        <w:tc>
          <w:tcPr>
            <w:tcW w:w="50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 (Principal Executive Officer)</w:t>
            </w:r>
          </w:p>
        </w:tc>
      </w:tr>
      <w:tr>
        <w:trPr/>
        <w:tc>
          <w:tcPr>
            <w:tcW w:w="2120"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both"/>
              <w:rPr>
                <w:caps w:val="false"/>
                <w:smallCaps w:val="false"/>
              </w:rPr>
            </w:pPr>
            <w:r>
              <w:rPr>
                <w:caps w:val="false"/>
                <w:smallCaps w:val="false"/>
              </w:rPr>
              <w:t> </w:t>
            </w:r>
          </w:p>
        </w:tc>
        <w:tc>
          <w:tcPr>
            <w:tcW w:w="500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1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November 14, 2025</w:t>
            </w:r>
          </w:p>
        </w:tc>
        <w:tc>
          <w:tcPr>
            <w:tcW w:w="3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5000" w:type="dxa"/>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Ferdinand Groenewald</w:t>
            </w:r>
          </w:p>
        </w:tc>
      </w:tr>
      <w:tr>
        <w:trPr/>
        <w:tc>
          <w:tcPr>
            <w:tcW w:w="2120"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both"/>
              <w:rPr>
                <w:caps w:val="false"/>
                <w:smallCaps w:val="false"/>
              </w:rPr>
            </w:pPr>
            <w:r>
              <w:rPr>
                <w:caps w:val="false"/>
                <w:smallCaps w:val="false"/>
              </w:rPr>
              <w:t> </w:t>
            </w:r>
          </w:p>
        </w:tc>
        <w:tc>
          <w:tcPr>
            <w:tcW w:w="50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Ferdinand Groenewald</w:t>
            </w:r>
          </w:p>
        </w:tc>
      </w:tr>
      <w:tr>
        <w:trPr/>
        <w:tc>
          <w:tcPr>
            <w:tcW w:w="2120"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both"/>
              <w:rPr>
                <w:caps w:val="false"/>
                <w:smallCaps w:val="false"/>
              </w:rPr>
            </w:pPr>
            <w:r>
              <w:rPr>
                <w:caps w:val="false"/>
                <w:smallCaps w:val="false"/>
              </w:rPr>
              <w:t> </w:t>
            </w:r>
          </w:p>
        </w:tc>
        <w:tc>
          <w:tcPr>
            <w:tcW w:w="50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Acting Chief Financial Officer (Principal Accounting Officer)</w:t>
            </w:r>
          </w:p>
        </w:tc>
      </w:tr>
    </w:tbl>
    <w:p>
      <w:pPr>
        <w:pStyle w:val="TextBody"/>
        <w:bidi w:val="0"/>
        <w:spacing w:before="0" w:after="0"/>
        <w:ind w:left="0" w:right="0" w:hanging="0"/>
        <w:jc w:val="center"/>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42</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center"/>
        <w:rPr/>
      </w:pPr>
      <w:bookmarkStart w:id="1249" w:name="ex31-1.htm"/>
      <w:bookmarkStart w:id="1250" w:name="ksex311"/>
      <w:bookmarkEnd w:id="1249"/>
      <w:bookmarkEnd w:id="1250"/>
      <w:r>
        <w:rPr/>
        <w:t> </w:t>
      </w:r>
      <w:r>
        <w:br w:type="page"/>
      </w:r>
    </w:p>
    <w:p>
      <w:pPr>
        <w:pStyle w:val="TextBody"/>
        <w:bidi w:val="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31.1</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w:t>
      </w:r>
    </w:p>
    <w:p>
      <w:pPr>
        <w:pStyle w:val="TextBody"/>
        <w:bidi w:val="0"/>
        <w:jc w:val="center"/>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Henry McPhie, certify that:</w:t>
      </w:r>
    </w:p>
    <w:p>
      <w:pPr>
        <w:pStyle w:val="TextBody"/>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40"/>
        <w:gridCol w:w="9990"/>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990" w:type="dxa"/>
            <w:tcBorders/>
            <w:vAlign w:val="center"/>
          </w:tcPr>
          <w:p>
            <w:pPr>
              <w:pStyle w:val="TableContents"/>
              <w:bidi w:val="0"/>
              <w:spacing w:before="0" w:after="283"/>
              <w:jc w:val="both"/>
              <w:rPr/>
            </w:pPr>
            <w:r>
              <w:rPr/>
              <w:t>I have reviewed this quarterly report on Form 10-Q of Streamex Corp.;</w:t>
            </w:r>
          </w:p>
        </w:tc>
      </w:tr>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99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9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99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99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99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99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03"/>
        <w:gridCol w:w="9927"/>
      </w:tblGrid>
      <w:tr>
        <w:trPr/>
        <w:tc>
          <w:tcPr>
            <w:tcW w:w="75" w:type="dxa"/>
            <w:tcBorders/>
            <w:vAlign w:val="center"/>
          </w:tcPr>
          <w:p>
            <w:pPr>
              <w:pStyle w:val="TableContents"/>
              <w:bidi w:val="0"/>
              <w:spacing w:before="0" w:after="283"/>
              <w:jc w:val="left"/>
              <w:rPr/>
            </w:pPr>
            <w:r>
              <w:rPr/>
              <w:t> </w:t>
            </w:r>
          </w:p>
        </w:tc>
        <w:tc>
          <w:tcPr>
            <w:tcW w:w="20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92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r>
        <w:trPr/>
        <w:tc>
          <w:tcPr>
            <w:tcW w:w="75" w:type="dxa"/>
            <w:tcBorders/>
            <w:vAlign w:val="center"/>
          </w:tcPr>
          <w:p>
            <w:pPr>
              <w:pStyle w:val="TableContents"/>
              <w:bidi w:val="0"/>
              <w:spacing w:before="0" w:after="283"/>
              <w:jc w:val="left"/>
              <w:rPr/>
            </w:pPr>
            <w:r>
              <w:rPr/>
              <w:t> </w:t>
            </w:r>
          </w:p>
        </w:tc>
        <w:tc>
          <w:tcPr>
            <w:tcW w:w="203" w:type="dxa"/>
            <w:tcBorders/>
            <w:vAlign w:val="center"/>
          </w:tcPr>
          <w:p>
            <w:pPr>
              <w:pStyle w:val="TableContents"/>
              <w:bidi w:val="0"/>
              <w:spacing w:before="0" w:after="283"/>
              <w:jc w:val="left"/>
              <w:rPr/>
            </w:pPr>
            <w:r>
              <w:rPr/>
              <w:t> </w:t>
            </w:r>
          </w:p>
        </w:tc>
        <w:tc>
          <w:tcPr>
            <w:tcW w:w="9927"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20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92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r>
        <w:trPr/>
        <w:tc>
          <w:tcPr>
            <w:tcW w:w="75" w:type="dxa"/>
            <w:tcBorders/>
            <w:vAlign w:val="center"/>
          </w:tcPr>
          <w:p>
            <w:pPr>
              <w:pStyle w:val="TableContents"/>
              <w:bidi w:val="0"/>
              <w:spacing w:before="0" w:after="283"/>
              <w:jc w:val="left"/>
              <w:rPr/>
            </w:pPr>
            <w:r>
              <w:rPr/>
              <w:t> </w:t>
            </w:r>
          </w:p>
        </w:tc>
        <w:tc>
          <w:tcPr>
            <w:tcW w:w="203" w:type="dxa"/>
            <w:tcBorders/>
            <w:vAlign w:val="center"/>
          </w:tcPr>
          <w:p>
            <w:pPr>
              <w:pStyle w:val="TableContents"/>
              <w:bidi w:val="0"/>
              <w:spacing w:before="0" w:after="283"/>
              <w:jc w:val="left"/>
              <w:rPr/>
            </w:pPr>
            <w:r>
              <w:rPr/>
              <w:t> </w:t>
            </w:r>
          </w:p>
        </w:tc>
        <w:tc>
          <w:tcPr>
            <w:tcW w:w="9927"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20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992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r>
        <w:trPr/>
        <w:tc>
          <w:tcPr>
            <w:tcW w:w="75" w:type="dxa"/>
            <w:tcBorders/>
            <w:vAlign w:val="center"/>
          </w:tcPr>
          <w:p>
            <w:pPr>
              <w:pStyle w:val="TableContents"/>
              <w:bidi w:val="0"/>
              <w:spacing w:before="0" w:after="283"/>
              <w:jc w:val="left"/>
              <w:rPr/>
            </w:pPr>
            <w:r>
              <w:rPr/>
              <w:t> </w:t>
            </w:r>
          </w:p>
        </w:tc>
        <w:tc>
          <w:tcPr>
            <w:tcW w:w="203" w:type="dxa"/>
            <w:tcBorders/>
            <w:vAlign w:val="center"/>
          </w:tcPr>
          <w:p>
            <w:pPr>
              <w:pStyle w:val="TableContents"/>
              <w:bidi w:val="0"/>
              <w:spacing w:before="0" w:after="283"/>
              <w:jc w:val="left"/>
              <w:rPr/>
            </w:pPr>
            <w:r>
              <w:rPr/>
              <w:t> </w:t>
            </w:r>
          </w:p>
        </w:tc>
        <w:tc>
          <w:tcPr>
            <w:tcW w:w="9927"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20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w:t>
            </w:r>
          </w:p>
        </w:tc>
        <w:tc>
          <w:tcPr>
            <w:tcW w:w="992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43"/>
        <w:gridCol w:w="9987"/>
      </w:tblGrid>
      <w:tr>
        <w:trPr/>
        <w:tc>
          <w:tcPr>
            <w:tcW w:w="75" w:type="dxa"/>
            <w:tcBorders/>
            <w:vAlign w:val="center"/>
          </w:tcPr>
          <w:p>
            <w:pPr>
              <w:pStyle w:val="TableContents"/>
              <w:bidi w:val="0"/>
              <w:spacing w:before="0" w:after="283"/>
              <w:jc w:val="left"/>
              <w:rPr/>
            </w:pPr>
            <w:r>
              <w:rPr/>
              <w:t> </w:t>
            </w:r>
          </w:p>
        </w:tc>
        <w:tc>
          <w:tcPr>
            <w:tcW w:w="14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w:t>
            </w:r>
          </w:p>
        </w:tc>
        <w:tc>
          <w:tcPr>
            <w:tcW w:w="998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11"/>
        <w:gridCol w:w="9919"/>
      </w:tblGrid>
      <w:tr>
        <w:trPr/>
        <w:tc>
          <w:tcPr>
            <w:tcW w:w="75"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91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All significant deficiencies and material weaknesses in the design or operation of internal control over financial reporting which are reasonable likely to adversely affect the registrant’s ability to record, process, summarize and report financial information; and</w:t>
            </w:r>
          </w:p>
        </w:tc>
      </w:tr>
      <w:tr>
        <w:trPr/>
        <w:tc>
          <w:tcPr>
            <w:tcW w:w="75"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9919"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91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fraud, whether or not material, that involves management or other employees who have a significant role in the registrant’s internal controls over financial reporting.</w:t>
            </w:r>
          </w:p>
        </w:tc>
      </w:tr>
    </w:tbl>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November 14, 2025</w:t>
      </w:r>
    </w:p>
    <w:p>
      <w:pPr>
        <w:pStyle w:val="TextBody"/>
        <w:bidi w:val="0"/>
        <w:jc w:val="both"/>
        <w:rPr>
          <w:caps w:val="false"/>
          <w:smallCaps w:val="false"/>
        </w:rPr>
      </w:pPr>
      <w:r>
        <w:rPr>
          <w:caps w:val="false"/>
          <w:smallCaps w:val="false"/>
        </w:rPr>
        <w:t> </w:t>
      </w:r>
    </w:p>
    <w:tbl>
      <w:tblPr>
        <w:tblW w:w="4400" w:type="dxa"/>
        <w:jc w:val="left"/>
        <w:tblInd w:w="0" w:type="dxa"/>
        <w:tblLayout w:type="fixed"/>
        <w:tblCellMar>
          <w:top w:w="0" w:type="dxa"/>
          <w:left w:w="0" w:type="dxa"/>
          <w:bottom w:w="28" w:type="dxa"/>
          <w:right w:w="0" w:type="dxa"/>
        </w:tblCellMar>
      </w:tblPr>
      <w:tblGrid>
        <w:gridCol w:w="4325"/>
        <w:gridCol w:w="75"/>
      </w:tblGrid>
      <w:tr>
        <w:trPr/>
        <w:tc>
          <w:tcPr>
            <w:tcW w:w="4325" w:type="dxa"/>
            <w:tcBorders>
              <w:bottom w:val="single" w:sz="8" w:space="0" w:color="000000"/>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/s/ Henry McPhie</w:t>
            </w:r>
          </w:p>
        </w:tc>
        <w:tc>
          <w:tcPr>
            <w:tcW w:w="75" w:type="dxa"/>
            <w:tcBorders/>
            <w:tcMar>
              <w:bottom w:w="0" w:type="dxa"/>
            </w:tcMar>
            <w:vAlign w:val="center"/>
          </w:tcPr>
          <w:p>
            <w:pPr>
              <w:pStyle w:val="TableContents"/>
              <w:bidi w:val="0"/>
              <w:spacing w:before="0" w:after="283"/>
              <w:jc w:val="left"/>
              <w:rPr/>
            </w:pPr>
            <w:r>
              <w:rPr/>
              <w:t> </w:t>
            </w:r>
          </w:p>
        </w:tc>
      </w:tr>
      <w:tr>
        <w:trPr/>
        <w:tc>
          <w:tcPr>
            <w:tcW w:w="432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Henry McPhie</w:t>
            </w:r>
          </w:p>
        </w:tc>
        <w:tc>
          <w:tcPr>
            <w:tcW w:w="75" w:type="dxa"/>
            <w:tcBorders/>
            <w:tcMar>
              <w:bottom w:w="0" w:type="dxa"/>
            </w:tcMar>
            <w:vAlign w:val="center"/>
          </w:tcPr>
          <w:p>
            <w:pPr>
              <w:pStyle w:val="TableContents"/>
              <w:bidi w:val="0"/>
              <w:spacing w:before="0" w:after="283"/>
              <w:jc w:val="left"/>
              <w:rPr/>
            </w:pPr>
            <w:r>
              <w:rPr/>
              <w:t> </w:t>
            </w:r>
          </w:p>
        </w:tc>
      </w:tr>
      <w:tr>
        <w:trPr/>
        <w:tc>
          <w:tcPr>
            <w:tcW w:w="432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Executive Officer (Principal Executive Officer)</w:t>
            </w:r>
          </w:p>
        </w:tc>
        <w:tc>
          <w:tcPr>
            <w:tcW w:w="75" w:type="dxa"/>
            <w:tcBorders/>
            <w:tcMar>
              <w:bottom w:w="0" w:type="dxa"/>
            </w:tcMar>
            <w:vAlign w:val="center"/>
          </w:tcPr>
          <w:p>
            <w:pPr>
              <w:pStyle w:val="TableContents"/>
              <w:bidi w:val="0"/>
              <w:spacing w:before="0" w:after="283"/>
              <w:jc w:val="left"/>
              <w:rPr/>
            </w:pPr>
            <w:r>
              <w:rPr/>
              <w:t> </w:t>
            </w:r>
          </w:p>
        </w:tc>
      </w:tr>
    </w:tbl>
    <w:p>
      <w:pPr>
        <w:pStyle w:val="TextBody"/>
        <w:bidi w:val="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jc w:val="center"/>
        <w:rPr/>
      </w:pPr>
      <w:bookmarkStart w:id="1251" w:name="ex31-2.htm"/>
      <w:bookmarkStart w:id="1252" w:name="ksex312"/>
      <w:bookmarkEnd w:id="1251"/>
      <w:bookmarkEnd w:id="1252"/>
      <w:r>
        <w:rPr/>
        <w:t> </w:t>
      </w:r>
      <w:r>
        <w:br w:type="page"/>
      </w:r>
    </w:p>
    <w:p>
      <w:pPr>
        <w:pStyle w:val="TextBody"/>
        <w:bidi w:val="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31.2</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w:t>
      </w:r>
    </w:p>
    <w:p>
      <w:pPr>
        <w:pStyle w:val="TextBody"/>
        <w:bidi w:val="0"/>
        <w:jc w:val="center"/>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Ferdinand Groenewald, certify that:</w:t>
      </w:r>
    </w:p>
    <w:p>
      <w:pPr>
        <w:pStyle w:val="TextBody"/>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40"/>
        <w:gridCol w:w="9990"/>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990" w:type="dxa"/>
            <w:tcBorders/>
            <w:vAlign w:val="center"/>
          </w:tcPr>
          <w:p>
            <w:pPr>
              <w:pStyle w:val="TableContents"/>
              <w:bidi w:val="0"/>
              <w:spacing w:before="0" w:after="283"/>
              <w:jc w:val="both"/>
              <w:rPr/>
            </w:pPr>
            <w:r>
              <w:rPr/>
              <w:t>I have reviewed this quarterly report on Form 10-Q of Streamex Corp.;</w:t>
            </w:r>
          </w:p>
        </w:tc>
      </w:tr>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99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9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99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99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99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99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03"/>
        <w:gridCol w:w="9927"/>
      </w:tblGrid>
      <w:tr>
        <w:trPr/>
        <w:tc>
          <w:tcPr>
            <w:tcW w:w="75" w:type="dxa"/>
            <w:tcBorders/>
            <w:vAlign w:val="center"/>
          </w:tcPr>
          <w:p>
            <w:pPr>
              <w:pStyle w:val="TableContents"/>
              <w:bidi w:val="0"/>
              <w:spacing w:before="0" w:after="283"/>
              <w:jc w:val="left"/>
              <w:rPr/>
            </w:pPr>
            <w:r>
              <w:rPr/>
              <w:t> </w:t>
            </w:r>
          </w:p>
        </w:tc>
        <w:tc>
          <w:tcPr>
            <w:tcW w:w="20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92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r>
        <w:trPr/>
        <w:tc>
          <w:tcPr>
            <w:tcW w:w="75" w:type="dxa"/>
            <w:tcBorders/>
            <w:vAlign w:val="center"/>
          </w:tcPr>
          <w:p>
            <w:pPr>
              <w:pStyle w:val="TableContents"/>
              <w:bidi w:val="0"/>
              <w:spacing w:before="0" w:after="283"/>
              <w:jc w:val="left"/>
              <w:rPr/>
            </w:pPr>
            <w:r>
              <w:rPr/>
              <w:t> </w:t>
            </w:r>
          </w:p>
        </w:tc>
        <w:tc>
          <w:tcPr>
            <w:tcW w:w="203" w:type="dxa"/>
            <w:tcBorders/>
            <w:vAlign w:val="center"/>
          </w:tcPr>
          <w:p>
            <w:pPr>
              <w:pStyle w:val="TableContents"/>
              <w:bidi w:val="0"/>
              <w:spacing w:before="0" w:after="283"/>
              <w:jc w:val="left"/>
              <w:rPr/>
            </w:pPr>
            <w:r>
              <w:rPr/>
              <w:t> </w:t>
            </w:r>
          </w:p>
        </w:tc>
        <w:tc>
          <w:tcPr>
            <w:tcW w:w="9927"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20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92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r>
        <w:trPr/>
        <w:tc>
          <w:tcPr>
            <w:tcW w:w="75" w:type="dxa"/>
            <w:tcBorders/>
            <w:vAlign w:val="center"/>
          </w:tcPr>
          <w:p>
            <w:pPr>
              <w:pStyle w:val="TableContents"/>
              <w:bidi w:val="0"/>
              <w:spacing w:before="0" w:after="283"/>
              <w:jc w:val="left"/>
              <w:rPr/>
            </w:pPr>
            <w:r>
              <w:rPr/>
              <w:t> </w:t>
            </w:r>
          </w:p>
        </w:tc>
        <w:tc>
          <w:tcPr>
            <w:tcW w:w="203" w:type="dxa"/>
            <w:tcBorders/>
            <w:vAlign w:val="center"/>
          </w:tcPr>
          <w:p>
            <w:pPr>
              <w:pStyle w:val="TableContents"/>
              <w:bidi w:val="0"/>
              <w:spacing w:before="0" w:after="283"/>
              <w:jc w:val="left"/>
              <w:rPr/>
            </w:pPr>
            <w:r>
              <w:rPr/>
              <w:t> </w:t>
            </w:r>
          </w:p>
        </w:tc>
        <w:tc>
          <w:tcPr>
            <w:tcW w:w="9927"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20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992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r>
        <w:trPr/>
        <w:tc>
          <w:tcPr>
            <w:tcW w:w="75" w:type="dxa"/>
            <w:tcBorders/>
            <w:vAlign w:val="center"/>
          </w:tcPr>
          <w:p>
            <w:pPr>
              <w:pStyle w:val="TableContents"/>
              <w:bidi w:val="0"/>
              <w:spacing w:before="0" w:after="283"/>
              <w:jc w:val="left"/>
              <w:rPr/>
            </w:pPr>
            <w:r>
              <w:rPr/>
              <w:t> </w:t>
            </w:r>
          </w:p>
        </w:tc>
        <w:tc>
          <w:tcPr>
            <w:tcW w:w="203" w:type="dxa"/>
            <w:tcBorders/>
            <w:vAlign w:val="center"/>
          </w:tcPr>
          <w:p>
            <w:pPr>
              <w:pStyle w:val="TableContents"/>
              <w:bidi w:val="0"/>
              <w:spacing w:before="0" w:after="283"/>
              <w:jc w:val="left"/>
              <w:rPr/>
            </w:pPr>
            <w:r>
              <w:rPr/>
              <w:t> </w:t>
            </w:r>
          </w:p>
        </w:tc>
        <w:tc>
          <w:tcPr>
            <w:tcW w:w="9927"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20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w:t>
            </w:r>
          </w:p>
        </w:tc>
        <w:tc>
          <w:tcPr>
            <w:tcW w:w="992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43"/>
        <w:gridCol w:w="9987"/>
      </w:tblGrid>
      <w:tr>
        <w:trPr/>
        <w:tc>
          <w:tcPr>
            <w:tcW w:w="75" w:type="dxa"/>
            <w:tcBorders/>
            <w:vAlign w:val="center"/>
          </w:tcPr>
          <w:p>
            <w:pPr>
              <w:pStyle w:val="TableContents"/>
              <w:bidi w:val="0"/>
              <w:spacing w:before="0" w:after="283"/>
              <w:jc w:val="left"/>
              <w:rPr/>
            </w:pPr>
            <w:r>
              <w:rPr/>
              <w:t> </w:t>
            </w:r>
          </w:p>
        </w:tc>
        <w:tc>
          <w:tcPr>
            <w:tcW w:w="14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w:t>
            </w:r>
          </w:p>
        </w:tc>
        <w:tc>
          <w:tcPr>
            <w:tcW w:w="998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11"/>
        <w:gridCol w:w="9919"/>
      </w:tblGrid>
      <w:tr>
        <w:trPr/>
        <w:tc>
          <w:tcPr>
            <w:tcW w:w="75" w:type="dxa"/>
            <w:tcBorders/>
            <w:vAlign w:val="center"/>
          </w:tcPr>
          <w:p>
            <w:pPr>
              <w:pStyle w:val="TableContents"/>
              <w:bidi w:val="0"/>
              <w:spacing w:before="0" w:after="283"/>
              <w:jc w:val="both"/>
              <w:rPr/>
            </w:pPr>
            <w:r>
              <w:rPr/>
              <w:t> </w:t>
            </w:r>
          </w:p>
        </w:tc>
        <w:tc>
          <w:tcPr>
            <w:tcW w:w="21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w:t>
            </w:r>
          </w:p>
        </w:tc>
        <w:tc>
          <w:tcPr>
            <w:tcW w:w="991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All significant deficiencies and material weaknesses in the design or operation of internal control over financial reporting which are reasonable likely to adversely affect the registrant’s ability to record, process, summarize and report financial information; and</w:t>
            </w:r>
          </w:p>
        </w:tc>
      </w:tr>
      <w:tr>
        <w:trPr/>
        <w:tc>
          <w:tcPr>
            <w:tcW w:w="75" w:type="dxa"/>
            <w:tcBorders/>
            <w:vAlign w:val="center"/>
          </w:tcPr>
          <w:p>
            <w:pPr>
              <w:pStyle w:val="TableContents"/>
              <w:bidi w:val="0"/>
              <w:spacing w:before="0" w:after="283"/>
              <w:jc w:val="both"/>
              <w:rPr/>
            </w:pPr>
            <w:r>
              <w:rPr/>
              <w:t> </w:t>
            </w:r>
          </w:p>
        </w:tc>
        <w:tc>
          <w:tcPr>
            <w:tcW w:w="211" w:type="dxa"/>
            <w:tcBorders/>
            <w:vAlign w:val="center"/>
          </w:tcPr>
          <w:p>
            <w:pPr>
              <w:pStyle w:val="TableContents"/>
              <w:bidi w:val="0"/>
              <w:spacing w:before="0" w:after="283"/>
              <w:jc w:val="both"/>
              <w:rPr/>
            </w:pPr>
            <w:r>
              <w:rPr/>
              <w:t> </w:t>
            </w:r>
          </w:p>
        </w:tc>
        <w:tc>
          <w:tcPr>
            <w:tcW w:w="9919"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21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w:t>
            </w:r>
          </w:p>
        </w:tc>
        <w:tc>
          <w:tcPr>
            <w:tcW w:w="991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fraud, whether or not material, that involves management or other employees who have a significant role in the registrant’s internal controls over financial reporting.</w:t>
            </w:r>
          </w:p>
        </w:tc>
      </w:tr>
    </w:tbl>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November 14, 2025</w:t>
      </w:r>
    </w:p>
    <w:p>
      <w:pPr>
        <w:pStyle w:val="TextBody"/>
        <w:bidi w:val="0"/>
        <w:jc w:val="both"/>
        <w:rPr>
          <w:caps w:val="false"/>
          <w:smallCaps w:val="false"/>
        </w:rPr>
      </w:pPr>
      <w:r>
        <w:rPr>
          <w:caps w:val="false"/>
          <w:smallCaps w:val="false"/>
        </w:rPr>
        <w:t> </w:t>
      </w:r>
    </w:p>
    <w:tbl>
      <w:tblPr>
        <w:tblW w:w="5075" w:type="dxa"/>
        <w:jc w:val="left"/>
        <w:tblInd w:w="0" w:type="dxa"/>
        <w:tblLayout w:type="fixed"/>
        <w:tblCellMar>
          <w:top w:w="0" w:type="dxa"/>
          <w:left w:w="0" w:type="dxa"/>
          <w:bottom w:w="28" w:type="dxa"/>
          <w:right w:w="0" w:type="dxa"/>
        </w:tblCellMar>
      </w:tblPr>
      <w:tblGrid>
        <w:gridCol w:w="5000"/>
        <w:gridCol w:w="75"/>
      </w:tblGrid>
      <w:tr>
        <w:trPr/>
        <w:tc>
          <w:tcPr>
            <w:tcW w:w="5000" w:type="dxa"/>
            <w:tcBorders>
              <w:bottom w:val="single" w:sz="8" w:space="0" w:color="000000"/>
            </w:tcBorders>
            <w:vAlign w:val="center"/>
          </w:tcPr>
          <w:p>
            <w:pPr>
              <w:pStyle w:val="TableContents"/>
              <w:bidi w:val="0"/>
              <w:spacing w:before="0" w:after="283"/>
              <w:jc w:val="both"/>
              <w:rPr>
                <w:rFonts w:ascii="Times New Roman;Times;Serif" w:hAnsi="Times New Roman;Times;Serif"/>
                <w:i/>
                <w:sz w:val="20"/>
              </w:rPr>
            </w:pPr>
            <w:r>
              <w:rPr>
                <w:rFonts w:ascii="Times New Roman;Times;Serif" w:hAnsi="Times New Roman;Times;Serif"/>
                <w:i/>
                <w:sz w:val="20"/>
              </w:rPr>
              <w:t>/s/ Ferdinand Groenewald</w:t>
            </w:r>
          </w:p>
        </w:tc>
        <w:tc>
          <w:tcPr>
            <w:tcW w:w="75" w:type="dxa"/>
            <w:tcBorders/>
            <w:tcMar>
              <w:bottom w:w="0" w:type="dxa"/>
            </w:tcMar>
            <w:vAlign w:val="center"/>
          </w:tcPr>
          <w:p>
            <w:pPr>
              <w:pStyle w:val="TableContents"/>
              <w:bidi w:val="0"/>
              <w:spacing w:before="0" w:after="283"/>
              <w:jc w:val="left"/>
              <w:rPr/>
            </w:pPr>
            <w:r>
              <w:rPr/>
              <w:t> </w:t>
            </w:r>
          </w:p>
        </w:tc>
      </w:tr>
      <w:tr>
        <w:trPr/>
        <w:tc>
          <w:tcPr>
            <w:tcW w:w="5000" w:type="dxa"/>
            <w:tcBorders/>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Ferdinand Groenewald</w:t>
            </w:r>
          </w:p>
        </w:tc>
        <w:tc>
          <w:tcPr>
            <w:tcW w:w="75" w:type="dxa"/>
            <w:tcBorders/>
            <w:tcMar>
              <w:bottom w:w="0" w:type="dxa"/>
            </w:tcMar>
            <w:vAlign w:val="center"/>
          </w:tcPr>
          <w:p>
            <w:pPr>
              <w:pStyle w:val="TableContents"/>
              <w:bidi w:val="0"/>
              <w:spacing w:before="0" w:after="283"/>
              <w:jc w:val="left"/>
              <w:rPr/>
            </w:pPr>
            <w:r>
              <w:rPr/>
              <w:t> </w:t>
            </w:r>
          </w:p>
        </w:tc>
      </w:tr>
      <w:tr>
        <w:trPr/>
        <w:tc>
          <w:tcPr>
            <w:tcW w:w="5000" w:type="dxa"/>
            <w:tcBorders/>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Acting Chief Financial Officer (Principal Accounting Officer)</w:t>
            </w:r>
          </w:p>
        </w:tc>
        <w:tc>
          <w:tcPr>
            <w:tcW w:w="75" w:type="dxa"/>
            <w:tcBorders/>
            <w:tcMar>
              <w:bottom w:w="0" w:type="dxa"/>
            </w:tcMar>
            <w:vAlign w:val="center"/>
          </w:tcPr>
          <w:p>
            <w:pPr>
              <w:pStyle w:val="TableContents"/>
              <w:bidi w:val="0"/>
              <w:spacing w:before="0" w:after="283"/>
              <w:jc w:val="left"/>
              <w:rPr/>
            </w:pPr>
            <w:r>
              <w:rPr/>
              <w:t> </w:t>
            </w:r>
          </w:p>
        </w:tc>
      </w:tr>
    </w:tbl>
    <w:p>
      <w:pPr>
        <w:pStyle w:val="TextBody"/>
        <w:bidi w:val="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p>
      <w:pPr>
        <w:pStyle w:val="TextBody"/>
        <w:bidi w:val="0"/>
        <w:jc w:val="both"/>
        <w:rPr>
          <w:caps w:val="false"/>
          <w:smallCaps w:val="false"/>
        </w:rPr>
      </w:pPr>
      <w:r>
        <w:rPr>
          <w:caps w:val="false"/>
          <w:smallCaps w:val="false"/>
        </w:rPr>
        <w:t> </w:t>
      </w:r>
    </w:p>
    <w:p>
      <w:pPr>
        <w:pStyle w:val="TextBody"/>
        <w:bidi w:val="0"/>
        <w:jc w:val="center"/>
        <w:rPr/>
      </w:pPr>
      <w:bookmarkStart w:id="1253" w:name="ex32-1.htm"/>
      <w:bookmarkStart w:id="1254" w:name="ksex321"/>
      <w:bookmarkEnd w:id="1253"/>
      <w:bookmarkEnd w:id="1254"/>
      <w:r>
        <w:rPr/>
        <w:t> </w:t>
      </w:r>
      <w:r>
        <w:br w:type="page"/>
      </w:r>
    </w:p>
    <w:p>
      <w:pPr>
        <w:pStyle w:val="TextBody"/>
        <w:bidi w:val="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32.1</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CERTIFICATIONS OF CHIEF EXECUTIVE OFFICER AND CHIEF FINANCIAL OFFICER</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18 U.S.C. SECTION 1350,</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ADOPTED PURSUANT TO</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906 OF THE SARBANES-OXLEY ACT OF 2002</w:t>
      </w:r>
    </w:p>
    <w:p>
      <w:pPr>
        <w:pStyle w:val="TextBody"/>
        <w:bidi w:val="0"/>
        <w:jc w:val="center"/>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Henry McPhie, certify, pursuant to 18 U.S.C. Section 1350, as adopted pursuant to Section 906 of the Sarbanes-Oxley Act of 2002, that the Quarterly Report of Streamex Corp. on Form 10-Q for the fiscal quarter ended September 30, 2025 fully complies with the requirements of Section 13(a) or 15(d) of the Securities Exchange Act of 1934 and that information contained in this Quarterly Report on Form 10-Q fairly presents in all material respects the financial condition and results of operations of Streamex Corp.</w:t>
      </w:r>
    </w:p>
    <w:p>
      <w:pPr>
        <w:pStyle w:val="TextBody"/>
        <w:bidi w:val="0"/>
        <w:jc w:val="center"/>
        <w:rPr>
          <w:caps w:val="false"/>
          <w:smallCaps w:val="false"/>
        </w:rPr>
      </w:pPr>
      <w:r>
        <w:rPr>
          <w:caps w:val="false"/>
          <w:smallCaps w:val="false"/>
        </w:rPr>
        <w:t> </w:t>
      </w:r>
    </w:p>
    <w:tbl>
      <w:tblPr>
        <w:tblW w:w="7005" w:type="dxa"/>
        <w:jc w:val="left"/>
        <w:tblInd w:w="0" w:type="dxa"/>
        <w:tblLayout w:type="fixed"/>
        <w:tblCellMar>
          <w:top w:w="0" w:type="dxa"/>
          <w:left w:w="0" w:type="dxa"/>
          <w:bottom w:w="0" w:type="dxa"/>
          <w:right w:w="0" w:type="dxa"/>
        </w:tblCellMar>
      </w:tblPr>
      <w:tblGrid>
        <w:gridCol w:w="2120"/>
        <w:gridCol w:w="545"/>
        <w:gridCol w:w="4340"/>
      </w:tblGrid>
      <w:tr>
        <w:trPr/>
        <w:tc>
          <w:tcPr>
            <w:tcW w:w="212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4340" w:type="dxa"/>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i/>
                <w:sz w:val="20"/>
              </w:rPr>
            </w:pPr>
            <w:r>
              <w:rPr>
                <w:rFonts w:ascii="Times New Roman;Times;Serif" w:hAnsi="Times New Roman;Times;Serif"/>
                <w:i/>
                <w:sz w:val="20"/>
              </w:rPr>
              <w:t>/s/ Henry McPhie</w:t>
            </w:r>
          </w:p>
        </w:tc>
      </w:tr>
      <w:tr>
        <w:trPr/>
        <w:tc>
          <w:tcPr>
            <w:tcW w:w="21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 November 14, 2025</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43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Henry McPhie</w:t>
            </w:r>
          </w:p>
        </w:tc>
      </w:tr>
      <w:tr>
        <w:trPr/>
        <w:tc>
          <w:tcPr>
            <w:tcW w:w="212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4340" w:type="dxa"/>
            <w:tcBorders/>
            <w:vAlign w:val="center"/>
          </w:tcPr>
          <w:p>
            <w:pPr>
              <w:pStyle w:val="TableContents"/>
              <w:bidi w:val="0"/>
              <w:spacing w:before="0" w:after="283"/>
              <w:jc w:val="both"/>
              <w:rPr>
                <w:rFonts w:ascii="Times New Roman;Times;Serif" w:hAnsi="Times New Roman;Times;Serif"/>
                <w:i/>
                <w:sz w:val="20"/>
              </w:rPr>
            </w:pPr>
            <w:r>
              <w:rPr>
                <w:rFonts w:ascii="Times New Roman;Times;Serif" w:hAnsi="Times New Roman;Times;Serif"/>
                <w:i/>
                <w:sz w:val="20"/>
              </w:rPr>
              <w:t>Chief Executive Officer (Principal Executive Officer)</w:t>
            </w:r>
          </w:p>
        </w:tc>
      </w:tr>
    </w:tbl>
    <w:p>
      <w:pPr>
        <w:pStyle w:val="TextBody"/>
        <w:bidi w:val="0"/>
        <w:jc w:val="center"/>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Ferdinand Groenewald, certify, pursuant to 18 U.S.C. Section 1350, as adopted pursuant to Section 906 of the Sarbanes-Oxley Act of 2002, that the Quarterly Report of Streamex Corp. on Form 10-Q for the fiscal quarter ended September 30, 2025 fully complies with the requirements of Section 13(a) or 15(d) of the Securities Exchange Act of 1934 and that information contained in this Quarterly Report on Form 10-Q fairly presents in all material respects the financial condition and results of operations of Streamex Corp.</w:t>
      </w:r>
    </w:p>
    <w:p>
      <w:pPr>
        <w:pStyle w:val="TextBody"/>
        <w:bidi w:val="0"/>
        <w:jc w:val="center"/>
        <w:rPr>
          <w:caps w:val="false"/>
          <w:smallCaps w:val="false"/>
        </w:rPr>
      </w:pPr>
      <w:r>
        <w:rPr>
          <w:caps w:val="false"/>
          <w:smallCaps w:val="false"/>
        </w:rPr>
        <w:t> </w:t>
      </w:r>
    </w:p>
    <w:tbl>
      <w:tblPr>
        <w:tblW w:w="7755" w:type="dxa"/>
        <w:jc w:val="left"/>
        <w:tblInd w:w="0" w:type="dxa"/>
        <w:tblLayout w:type="fixed"/>
        <w:tblCellMar>
          <w:top w:w="0" w:type="dxa"/>
          <w:left w:w="0" w:type="dxa"/>
          <w:bottom w:w="0" w:type="dxa"/>
          <w:right w:w="0" w:type="dxa"/>
        </w:tblCellMar>
      </w:tblPr>
      <w:tblGrid>
        <w:gridCol w:w="2120"/>
        <w:gridCol w:w="545"/>
        <w:gridCol w:w="5090"/>
      </w:tblGrid>
      <w:tr>
        <w:trPr/>
        <w:tc>
          <w:tcPr>
            <w:tcW w:w="212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509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/s/ Ferdinand Groenewald</w:t>
            </w:r>
          </w:p>
        </w:tc>
      </w:tr>
      <w:tr>
        <w:trPr/>
        <w:tc>
          <w:tcPr>
            <w:tcW w:w="21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 November 14, 2025</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50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Ferdinand Groenewald</w:t>
            </w:r>
          </w:p>
        </w:tc>
      </w:tr>
      <w:tr>
        <w:trPr/>
        <w:tc>
          <w:tcPr>
            <w:tcW w:w="212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5090" w:type="dxa"/>
            <w:tcBorders/>
            <w:vAlign w:val="center"/>
          </w:tcPr>
          <w:p>
            <w:pPr>
              <w:pStyle w:val="TableContents"/>
              <w:bidi w:val="0"/>
              <w:spacing w:before="0" w:after="283"/>
              <w:jc w:val="both"/>
              <w:rPr>
                <w:rFonts w:ascii="Times New Roman;Times;Serif" w:hAnsi="Times New Roman;Times;Serif"/>
                <w:i/>
                <w:sz w:val="20"/>
              </w:rPr>
            </w:pPr>
            <w:r>
              <w:rPr>
                <w:rFonts w:ascii="Times New Roman;Times;Serif" w:hAnsi="Times New Roman;Times;Serif"/>
                <w:i/>
                <w:sz w:val="20"/>
              </w:rPr>
              <w:t>Acting Chief Financial Officer (Principal Accounting Officer)</w:t>
            </w:r>
          </w:p>
        </w:tc>
      </w:tr>
    </w:tbl>
    <w:p>
      <w:pPr>
        <w:pStyle w:val="TextBody"/>
        <w:bidi w:val="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530766/000164117225026749/ex3-1.htm" TargetMode="External"/><Relationship Id="rId3" Type="http://schemas.openxmlformats.org/officeDocument/2006/relationships/hyperlink" Target="https://www.sec.gov/Archives/edgar/data/1530766/000164117225027127/ex3-1.htm" TargetMode="External"/><Relationship Id="rId4" Type="http://schemas.openxmlformats.org/officeDocument/2006/relationships/hyperlink" Target="https://www.sec.gov/Archives/edgar/data/1530766/000164117225018318/ex10-1.htm" TargetMode="External"/><Relationship Id="rId5" Type="http://schemas.openxmlformats.org/officeDocument/2006/relationships/hyperlink" Target="https://www.sec.gov/Archives/edgar/data/1530766/000164117225018318/ex10-3.htm" TargetMode="External"/><Relationship Id="rId6" Type="http://schemas.openxmlformats.org/officeDocument/2006/relationships/hyperlink" Target="https://www.sec.gov/Archives/edgar/data/1530766/000164117225018318/ex10-4.htm" TargetMode="External"/><Relationship Id="rId7" Type="http://schemas.openxmlformats.org/officeDocument/2006/relationships/hyperlink" Target="https://www.sec.gov/Archives/edgar/data/1530766/000164117225023406/ex10-1.htm" TargetMode="External"/><Relationship Id="rId8" Type="http://schemas.openxmlformats.org/officeDocument/2006/relationships/hyperlink" Target="https://www.sec.gov/Archives/edgar/data/1530766/000164117225026853/ex10-1.htm"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Pages>
  <Words>29400</Words>
  <Characters>164065</Characters>
  <CharactersWithSpaces>195742</CharactersWithSpaces>
  <Paragraphs>8261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