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53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53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Lekstrom Morgan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20"/>
        <w:spacing w:after="0" w:line="365" w:lineRule="auto"/>
        <w:rPr>
          <w:sz w:val="20"/>
          <w:szCs w:val="20"/>
          <w:color w:val="auto"/>
        </w:rPr>
      </w:pPr>
      <w:r>
        <w:rPr>
          <w:rFonts w:ascii="Times New Roman" w:cs="Times New Roman" w:eastAsia="Times New Roman" w:hAnsi="Times New Roman"/>
          <w:sz w:val="17"/>
          <w:szCs w:val="17"/>
          <w:color w:val="0000FF"/>
        </w:rPr>
        <w:t>C/O STREAMEX CORP. 2431 ALOMA AVE STE 243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Streamex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STEX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85"/>
        <w:spacing w:after="0"/>
        <w:rPr>
          <w:sz w:val="20"/>
          <w:szCs w:val="20"/>
          <w:color w:val="auto"/>
        </w:rPr>
      </w:pPr>
      <w:r>
        <w:rPr>
          <w:rFonts w:ascii="Times New Roman" w:cs="Times New Roman" w:eastAsia="Times New Roman" w:hAnsi="Times New Roman"/>
          <w:sz w:val="17"/>
          <w:szCs w:val="17"/>
          <w:color w:val="0000FF"/>
        </w:rPr>
        <w:t>Interim Executive Chairman</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9A9A9A"/>
            </w:tcBorders>
          </w:tcPr>
          <w:p>
            <w:pPr>
              <w:spacing w:after="0"/>
              <w:rPr>
                <w:sz w:val="2"/>
                <w:szCs w:val="2"/>
                <w:color w:val="auto"/>
              </w:rPr>
            </w:pPr>
          </w:p>
        </w:tc>
        <w:tc>
          <w:tcPr>
            <w:tcW w:w="78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8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78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7"/>
            <w:vMerge w:val="continue"/>
          </w:tcPr>
          <w:p>
            <w:pPr>
              <w:spacing w:after="0" w:line="20" w:lineRule="exact"/>
              <w:rPr>
                <w:sz w:val="1"/>
                <w:szCs w:val="1"/>
                <w:color w:val="auto"/>
              </w:rPr>
            </w:pPr>
          </w:p>
        </w:tc>
        <w:tc>
          <w:tcPr>
            <w:tcW w:w="3640" w:type="dxa"/>
            <w:vAlign w:val="bottom"/>
            <w:gridSpan w:val="9"/>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80" w:type="dxa"/>
            <w:vAlign w:val="bottom"/>
            <w:gridSpan w:val="7"/>
            <w:vMerge w:val="continue"/>
          </w:tcPr>
          <w:p>
            <w:pPr>
              <w:spacing w:after="0"/>
              <w:rPr>
                <w:sz w:val="10"/>
                <w:szCs w:val="10"/>
                <w:color w:val="auto"/>
              </w:rPr>
            </w:pPr>
          </w:p>
        </w:tc>
        <w:tc>
          <w:tcPr>
            <w:tcW w:w="3640" w:type="dxa"/>
            <w:vAlign w:val="bottom"/>
            <w:gridSpan w:val="9"/>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01/26/2026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20" w:type="dxa"/>
            <w:vAlign w:val="bottom"/>
            <w:gridSpan w:val="4"/>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WINTER</w:t>
            </w: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20" w:type="dxa"/>
            <w:vAlign w:val="bottom"/>
            <w:gridSpan w:val="4"/>
            <w:vMerge w:val="continue"/>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8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32792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80" w:type="dxa"/>
            <w:vAlign w:val="bottom"/>
            <w:gridSpan w:val="8"/>
            <w:vMerge w:val="restart"/>
          </w:tcPr>
          <w:p>
            <w:pPr>
              <w:ind w:left="2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PARK</w:t>
            </w:r>
          </w:p>
        </w:tc>
        <w:tc>
          <w:tcPr>
            <w:tcW w:w="7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80" w:type="dxa"/>
            <w:vAlign w:val="bottom"/>
            <w:gridSpan w:val="8"/>
          </w:tcPr>
          <w:p>
            <w:pPr>
              <w:ind w:left="26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ind w:left="260"/>
              <w:spacing w:after="0" w:line="113" w:lineRule="exact"/>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5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4"/>
          </w:tcPr>
          <w:p>
            <w:pPr>
              <w:jc w:val="right"/>
              <w:ind w:right="2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jc w:val="right"/>
              <w:ind w:right="275"/>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All Mine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18"/>
                <w:szCs w:val="18"/>
                <w:color w:val="auto"/>
              </w:rPr>
            </w:pPr>
          </w:p>
        </w:tc>
        <w:tc>
          <w:tcPr>
            <w:tcW w:w="2180" w:type="dxa"/>
            <w:vAlign w:val="bottom"/>
            <w:gridSpan w:val="4"/>
          </w:tcPr>
          <w:p>
            <w:pPr>
              <w:ind w:left="680"/>
              <w:spacing w:after="0"/>
              <w:rPr>
                <w:sz w:val="20"/>
                <w:szCs w:val="20"/>
                <w:color w:val="auto"/>
              </w:rPr>
            </w:pPr>
            <w:r>
              <w:rPr>
                <w:rFonts w:ascii="Times New Roman" w:cs="Times New Roman" w:eastAsia="Times New Roman" w:hAnsi="Times New Roman"/>
                <w:sz w:val="17"/>
                <w:szCs w:val="17"/>
                <w:color w:val="0000FF"/>
              </w:rPr>
              <w:t>01/23/2026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P</w:t>
            </w:r>
          </w:p>
        </w:tc>
        <w:tc>
          <w:tcPr>
            <w:tcW w:w="860" w:type="dxa"/>
            <w:vAlign w:val="bottom"/>
          </w:tcPr>
          <w:p>
            <w:pPr>
              <w:jc w:val="right"/>
              <w:ind w:right="75"/>
              <w:spacing w:after="0" w:line="213" w:lineRule="exact"/>
              <w:rPr>
                <w:sz w:val="20"/>
                <w:szCs w:val="20"/>
                <w:color w:val="auto"/>
              </w:rPr>
            </w:pPr>
            <w:r>
              <w:rPr>
                <w:rFonts w:ascii="Times New Roman" w:cs="Times New Roman" w:eastAsia="Times New Roman" w:hAnsi="Times New Roman"/>
                <w:sz w:val="17"/>
                <w:szCs w:val="17"/>
                <w:color w:val="0000FF"/>
              </w:rPr>
              <w:t>47,000</w:t>
            </w:r>
            <w:r>
              <w:rPr>
                <w:rFonts w:ascii="Times New Roman" w:cs="Times New Roman" w:eastAsia="Times New Roman" w:hAnsi="Times New Roman"/>
                <w:sz w:val="22"/>
                <w:szCs w:val="22"/>
                <w:color w:val="008000"/>
                <w:vertAlign w:val="superscript"/>
              </w:rPr>
              <w:t>(1)</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3.1338</w:t>
            </w:r>
          </w:p>
        </w:tc>
        <w:tc>
          <w:tcPr>
            <w:tcW w:w="1260" w:type="dxa"/>
            <w:vAlign w:val="bottom"/>
            <w:gridSpan w:val="3"/>
          </w:tcPr>
          <w:p>
            <w:pPr>
              <w:ind w:left="320"/>
              <w:spacing w:after="0" w:line="213" w:lineRule="exact"/>
              <w:rPr>
                <w:sz w:val="20"/>
                <w:szCs w:val="20"/>
                <w:color w:val="auto"/>
              </w:rPr>
            </w:pPr>
            <w:r>
              <w:rPr>
                <w:rFonts w:ascii="Times New Roman" w:cs="Times New Roman" w:eastAsia="Times New Roman" w:hAnsi="Times New Roman"/>
                <w:sz w:val="17"/>
                <w:szCs w:val="17"/>
                <w:color w:val="0000FF"/>
              </w:rPr>
              <w:t>54,000</w:t>
            </w:r>
            <w:r>
              <w:rPr>
                <w:rFonts w:ascii="Times New Roman" w:cs="Times New Roman" w:eastAsia="Times New Roman" w:hAnsi="Times New Roman"/>
                <w:sz w:val="22"/>
                <w:szCs w:val="22"/>
                <w:color w:val="008000"/>
                <w:vertAlign w:val="superscript"/>
              </w:rPr>
              <w:t>(1)</w:t>
            </w:r>
          </w:p>
        </w:tc>
        <w:tc>
          <w:tcPr>
            <w:tcW w:w="320" w:type="dxa"/>
            <w:vAlign w:val="bottom"/>
          </w:tcPr>
          <w:p>
            <w:pPr>
              <w:spacing w:after="0"/>
              <w:rPr>
                <w:sz w:val="18"/>
                <w:szCs w:val="18"/>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Consulting</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Ltd</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8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purpose of this Form 4/A is to correct (i) the quantity of securities acquired by the Reporting Person and (ii) the quantity of securities beneficially owned by the Reporting Person following the reported transaction. The Reporting Person has not undertaken to amend any Form 4 that may have been filed subsequent to the filing date of the original Form 4 and prior to the filing date of this Form 4/A to correct the quantity of securities beneficially owned on any such subsequent Form(s) 4. The amounts reported herein reflect the aggregate number of shares of common stock, par value $0.001 per share ("Common Stock") of the Issuer beneficially owned by the Reporting Person as of the date of the original Form 4 filed on January 26, 2026. As of the date of this Form 4/A, the Reporting Person holds 87,241 shares of Common Stock directly and 309,500 shares of Common Stock held by an entity for which the Reporting Person holds voting and dispositive control.</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an entity for which the Reporting Person holds voting and dispositive control.</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Morgan Lekstrom</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05/28/2026</w:t>
            </w:r>
          </w:p>
        </w:tc>
      </w:tr>
      <w:tr>
        <w:trPr>
          <w:trHeight w:val="20"/>
        </w:trPr>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2014" TargetMode="External"/><Relationship Id="rId14" Type="http://schemas.openxmlformats.org/officeDocument/2006/relationships/hyperlink" Target="http://www.sec.gov/cgi-bin/browse-edgar?action=getcompany&amp;CIK=00015307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2026-05-28T20:44:53Z</dcterms:created>
  <dcterms:modified xsi:type="dcterms:W3CDTF">2026-05-28T20:44:53Z</dcterms:modified>
</cp:coreProperties>
</file>