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0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E_edei--DocumentPeriodEndDate_c202"/>
      <w:bookmarkEnd w:id="4"/>
      <w:r>
        <w:rPr>
          <w:rFonts w:ascii="Times New Roman;Times;Serif" w:hAnsi="Times New Roman;Times;Serif"/>
          <w:b/>
          <w:i w:val="false"/>
          <w:caps w:val="false"/>
          <w:smallCaps w:val="false"/>
          <w:sz w:val="20"/>
        </w:rPr>
        <w:t xml:space="preserve">March 31, </w:t>
      </w:r>
      <w:bookmarkStart w:id="5" w:name="xdx_908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6" w:name="xdx_90F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E_edei--EntityFileNumber_c20260101"/>
      <w:bookmarkEnd w:id="7"/>
      <w:r>
        <w:rPr>
          <w:rFonts w:ascii="Times New Roman;Times;Serif" w:hAnsi="Times New Roman;Times;Serif"/>
          <w:b/>
          <w:i w:val="false"/>
          <w:caps w:val="false"/>
          <w:smallCaps w:val="false"/>
          <w:sz w:val="20"/>
        </w:rPr>
        <w:t>001-38659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bookmarkStart w:id="8" w:name="xdx_908_edei--EntityRegistrantName_c2026"/>
      <w:bookmarkEnd w:id="8"/>
      <w:r>
        <w:rPr>
          <w:rFonts w:ascii="Times New Roman;Times;Serif" w:hAnsi="Times New Roman;Times;Serif"/>
          <w:b/>
          <w:i w:val="false"/>
          <w:caps w:val="false"/>
          <w:smallCaps w:val="false"/>
          <w:sz w:val="36"/>
          <w:u w:val="single"/>
        </w:rPr>
        <w:t>STREAMEX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25" w:type="dxa"/>
        <w:jc w:val="left"/>
        <w:tblInd w:w="0" w:type="dxa"/>
        <w:tblLayout w:type="fixed"/>
        <w:tblCellMar>
          <w:top w:w="0" w:type="dxa"/>
          <w:left w:w="0" w:type="dxa"/>
          <w:bottom w:w="28" w:type="dxa"/>
          <w:right w:w="0" w:type="dxa"/>
        </w:tblCellMar>
      </w:tblPr>
      <w:tblGrid>
        <w:gridCol w:w="3530"/>
        <w:gridCol w:w="60"/>
        <w:gridCol w:w="1535"/>
      </w:tblGrid>
      <w:tr>
        <w:trPr/>
        <w:tc>
          <w:tcPr>
            <w:tcW w:w="35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C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E_edei--EntityTaxIdentificationNum"/>
            <w:bookmarkEnd w:id="10"/>
            <w:r>
              <w:rPr>
                <w:rFonts w:ascii="Times New Roman;Times;Serif" w:hAnsi="Times New Roman;Times;Serif"/>
                <w:b/>
                <w:i w:val="false"/>
                <w:caps w:val="false"/>
                <w:smallCaps w:val="false"/>
                <w:sz w:val="20"/>
              </w:rPr>
              <w:t>26-4333375</w:t>
            </w:r>
          </w:p>
        </w:tc>
      </w:tr>
      <w:tr>
        <w:trPr/>
        <w:tc>
          <w:tcPr>
            <w:tcW w:w="353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53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530" w:type="dxa"/>
            <w:tcBorders>
              <w:bottom w:val="single" w:sz="8" w:space="0" w:color="000000"/>
            </w:tcBorders>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1" w:name="xdx_904_edei--EntityAddressAddressLine1_"/>
            <w:bookmarkEnd w:id="11"/>
            <w:r>
              <w:rPr>
                <w:rFonts w:ascii="Times New Roman;Times;Serif" w:hAnsi="Times New Roman;Times;Serif"/>
                <w:b/>
                <w:i w:val="false"/>
                <w:caps w:val="false"/>
                <w:smallCaps w:val="false"/>
                <w:sz w:val="20"/>
              </w:rPr>
              <w:t xml:space="preserve">2431 Aloma Avenue, </w:t>
            </w:r>
            <w:bookmarkStart w:id="12" w:name="xdx_90D_edei--EntityAddressAddressLine2_"/>
            <w:bookmarkEnd w:id="12"/>
            <w:r>
              <w:rPr>
                <w:rFonts w:ascii="Times New Roman;Times;Serif" w:hAnsi="Times New Roman;Times;Serif"/>
                <w:b/>
                <w:i w:val="false"/>
                <w:caps w:val="false"/>
                <w:smallCaps w:val="false"/>
                <w:sz w:val="20"/>
              </w:rPr>
              <w:t>Suite 243</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xdx_90E_edei--EntityAddressCityOrTown_c2"/>
            <w:bookmarkEnd w:id="13"/>
            <w:r>
              <w:rPr>
                <w:rFonts w:ascii="Times New Roman;Times;Serif" w:hAnsi="Times New Roman;Times;Serif"/>
                <w:b/>
                <w:i w:val="false"/>
                <w:caps w:val="false"/>
                <w:smallCaps w:val="false"/>
                <w:sz w:val="20"/>
              </w:rPr>
              <w:t xml:space="preserve">Winter Park, </w:t>
            </w:r>
            <w:bookmarkStart w:id="14" w:name="xdx_902_edei--EntityAddressStateOrProvin"/>
            <w:bookmarkEnd w:id="14"/>
            <w:r>
              <w:rPr>
                <w:rFonts w:ascii="Times New Roman;Times;Serif" w:hAnsi="Times New Roman;Times;Serif"/>
                <w:b/>
                <w:i w:val="false"/>
                <w:caps w:val="false"/>
                <w:smallCaps w:val="false"/>
                <w:sz w:val="20"/>
              </w:rPr>
              <w:t xml:space="preserve">Florida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8_edei--EntityAddressPostalZipCode"/>
            <w:bookmarkEnd w:id="15"/>
            <w:r>
              <w:rPr>
                <w:rFonts w:ascii="Times New Roman;Times;Serif" w:hAnsi="Times New Roman;Times;Serif"/>
                <w:b/>
                <w:i w:val="false"/>
                <w:caps w:val="false"/>
                <w:smallCaps w:val="false"/>
                <w:sz w:val="20"/>
              </w:rPr>
              <w:t>32792</w:t>
            </w:r>
          </w:p>
        </w:tc>
      </w:tr>
      <w:tr>
        <w:trPr/>
        <w:tc>
          <w:tcPr>
            <w:tcW w:w="35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6" w:name="xdx_903_edei--CityAreaCode_c20260101__20"/>
      <w:bookmarkEnd w:id="16"/>
      <w:r>
        <w:rPr>
          <w:rFonts w:ascii="Times New Roman;Times;Serif" w:hAnsi="Times New Roman;Times;Serif"/>
          <w:b/>
          <w:i w:val="false"/>
          <w:caps w:val="false"/>
          <w:smallCaps w:val="false"/>
          <w:sz w:val="20"/>
          <w:u w:val="single"/>
        </w:rPr>
        <w:t xml:space="preserve">(203) </w:t>
      </w:r>
      <w:bookmarkStart w:id="17" w:name="xdx_90F_edei--LocalPhoneNumber_c20260101"/>
      <w:bookmarkEnd w:id="17"/>
      <w:r>
        <w:rPr>
          <w:rFonts w:ascii="Times New Roman;Times;Serif" w:hAnsi="Times New Roman;Times;Serif"/>
          <w:b/>
          <w:i w:val="false"/>
          <w:caps w:val="false"/>
          <w:smallCaps w:val="false"/>
          <w:sz w:val="20"/>
          <w:u w:val="single"/>
        </w:rPr>
        <w:t>409-5444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515"/>
        <w:gridCol w:w="60"/>
        <w:gridCol w:w="153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0101"/>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60101__2"/>
            <w:bookmarkEnd w:id="19"/>
            <w:r>
              <w:rPr>
                <w:rFonts w:ascii="Times New Roman;Times;Serif" w:hAnsi="Times New Roman;Times;Serif"/>
                <w:b w:val="false"/>
                <w:i w:val="false"/>
                <w:caps w:val="false"/>
                <w:smallCaps w:val="false"/>
                <w:sz w:val="20"/>
              </w:rPr>
              <w:t>STEX</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B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0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4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9_edei--EntityFilerCategory_c2026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4" w:name="xdx_902_edei--EntitySmallBusiness_c20260"/>
            <w:bookmarkEnd w:id="24"/>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5" w:name="xdx_90B_edei--EntityEmergingGrowthCompan"/>
            <w:bookmarkEnd w:id="25"/>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4_edei--EntityShellCompany_dbF_c20"/>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13, 2026, there were </w:t>
      </w:r>
      <w:bookmarkStart w:id="27" w:name="xdx_907_edei--EntityCommonStockSharesOut"/>
      <w:bookmarkEnd w:id="27"/>
      <w:r>
        <w:rPr>
          <w:rFonts w:ascii="Times New Roman;Times;Serif" w:hAnsi="Times New Roman;Times;Serif"/>
          <w:b w:val="false"/>
          <w:i w:val="false"/>
          <w:caps w:val="false"/>
          <w:smallCaps w:val="false"/>
          <w:sz w:val="20"/>
        </w:rPr>
        <w:t>104,274,817 shares of the registrants common stock, par value $</w:t>
      </w:r>
      <w:bookmarkStart w:id="28" w:name="xdx_906_edei--EntityListingParValuePerSh"/>
      <w:bookmarkEnd w:id="28"/>
      <w:r>
        <w:rPr>
          <w:rFonts w:ascii="Times New Roman;Times;Serif" w:hAnsi="Times New Roman;Times;Serif"/>
          <w:b w:val="false"/>
          <w:i w:val="false"/>
          <w:caps w:val="false"/>
          <w:smallCaps w:val="false"/>
          <w:sz w:val="20"/>
        </w:rPr>
        <w:t>0.001 per share,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Exchangeable and Special Voting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13, 2026, there were outstanding 77,530,617 exchangeable shares of BST Sub ULC, a wholly owned subsidiary of the registrant. The exchangeable shares are exchangeable for an equal number of the registrants common stock, and carry rights substantially equivalent to the Company’s common stock, including rights to dividends, liquidation preferences, and voting (via a Special Voting Preferred Stock held by a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345" w:type="dxa"/>
        <w:jc w:val="left"/>
        <w:tblInd w:w="0" w:type="dxa"/>
        <w:tblLayout w:type="fixed"/>
        <w:tblCellMar>
          <w:top w:w="0" w:type="dxa"/>
          <w:left w:w="0" w:type="dxa"/>
          <w:bottom w:w="0" w:type="dxa"/>
          <w:right w:w="0" w:type="dxa"/>
        </w:tblCellMar>
      </w:tblPr>
      <w:tblGrid>
        <w:gridCol w:w="75"/>
        <w:gridCol w:w="830"/>
        <w:gridCol w:w="7925"/>
        <w:gridCol w:w="515"/>
      </w:tblGrid>
      <w:tr>
        <w:trPr/>
        <w:tc>
          <w:tcPr>
            <w:tcW w:w="8830" w:type="dxa"/>
            <w:gridSpan w:val="3"/>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i w:val="false"/>
                  <w:caps w:val="false"/>
                  <w:smallCaps w:val="false"/>
                  <w:sz w:val="20"/>
                </w:rPr>
                <w:t>PART I. FINANCIAL INFORMATION</w:t>
              </w:r>
            </w:hyperlink>
          </w:p>
        </w:tc>
        <w:tc>
          <w:tcPr>
            <w:tcW w:w="5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925"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Financial Statements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(Unaudited)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 and Comprehensive Loss (Unaudited)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Changes in Stockholders’ Equity (Unaudited)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925" w:type="dxa"/>
            <w:tcBorders/>
            <w:shd w:fill="CCEEFF" w:val="clear"/>
            <w:vAlign w:val="center"/>
          </w:tcPr>
          <w:p>
            <w:pPr>
              <w:pStyle w:val="TableContents"/>
              <w:bidi w:val="0"/>
              <w:spacing w:before="0" w:after="283"/>
              <w:jc w:val="both"/>
              <w:rPr/>
            </w:pPr>
            <w:hyperlink w:anchor="a_02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925" w:type="dxa"/>
            <w:tcBorders/>
            <w:shd w:fill="FFFF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925"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830" w:type="dxa"/>
            <w:gridSpan w:val="3"/>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i w:val="false"/>
                  <w:caps w:val="false"/>
                  <w:smallCaps w:val="false"/>
                  <w:sz w:val="20"/>
                </w:rPr>
                <w:t>PART II. OTHER INFORMATION</w:t>
              </w:r>
            </w:hyperlink>
          </w:p>
        </w:tc>
        <w:tc>
          <w:tcPr>
            <w:tcW w:w="51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925"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Legal Proceedings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925" w:type="dxa"/>
            <w:tcBorders/>
            <w:shd w:fill="FFFF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Risk Factors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925"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Unregistered Sales of Equity Securities, Use of Proceeds, and Issuer Purchases of Equity Securities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925" w:type="dxa"/>
            <w:tcBorders/>
            <w:shd w:fill="FFFF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Defaults Upon Senior Securities</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925"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Mine Safety Disclosures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925" w:type="dxa"/>
            <w:tcBorders/>
            <w:shd w:fill="FFFF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Other Information</w:t>
              </w:r>
            </w:hyperlink>
          </w:p>
        </w:tc>
        <w:tc>
          <w:tcPr>
            <w:tcW w:w="5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925"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Exhibits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92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755" w:type="dxa"/>
            <w:gridSpan w:val="2"/>
            <w:tcBorders/>
            <w:shd w:fill="CCEEFF" w:val="clear"/>
            <w:vAlign w:val="center"/>
          </w:tcPr>
          <w:p>
            <w:pPr>
              <w:pStyle w:val="TableContents"/>
              <w:bidi w:val="0"/>
              <w:spacing w:before="0" w:after="283"/>
              <w:jc w:val="both"/>
              <w:rPr/>
            </w:pPr>
            <w:hyperlink w:anchor="a_019">
              <w:r>
                <w:rPr>
                  <w:rStyle w:val="InternetLink"/>
                  <w:rFonts w:ascii="Times New Roman;Times;Serif" w:hAnsi="Times New Roman;Times;Serif"/>
                  <w:b w:val="false"/>
                  <w:i w:val="false"/>
                  <w:caps w:val="false"/>
                  <w:smallCaps w:val="false"/>
                  <w:sz w:val="20"/>
                </w:rPr>
                <w:t>SIGNATURES</w:t>
              </w:r>
            </w:hyperlink>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 I</w:t>
      </w:r>
      <w:r>
        <w:rPr>
          <w:rFonts w:ascii="Times New Roman;Times;Serif" w:hAnsi="Times New Roman;Times;Serif"/>
          <w:b w:val="false"/>
          <w:i w:val="false"/>
          <w:caps w:val="false"/>
          <w:smallCaps w:val="false"/>
          <w:sz w:val="20"/>
        </w:rPr>
        <w:t xml:space="preserve"> – </w:t>
      </w:r>
      <w:bookmarkStart w:id="29" w:name="a_001"/>
      <w:bookmarkEnd w:id="29"/>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02"/>
      <w:bookmarkEnd w:id="30"/>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03"/>
      <w:bookmarkEnd w:id="31"/>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0_111_pn3n3_znbFEGBBUcFb"/>
      <w:bookmarkStart w:id="33" w:name="xdx_300_111_pn3n3_znbFEGBBUcFb"/>
      <w:bookmarkEnd w:id="33"/>
    </w:p>
    <w:tbl>
      <w:tblPr>
        <w:tblW w:w="10205" w:type="dxa"/>
        <w:jc w:val="left"/>
        <w:tblInd w:w="0" w:type="dxa"/>
        <w:tblLayout w:type="fixed"/>
        <w:tblCellMar>
          <w:top w:w="0" w:type="dxa"/>
          <w:left w:w="0" w:type="dxa"/>
          <w:bottom w:w="0" w:type="dxa"/>
          <w:right w:w="0" w:type="dxa"/>
        </w:tblCellMar>
      </w:tblPr>
      <w:tblGrid>
        <w:gridCol w:w="7559"/>
        <w:gridCol w:w="60"/>
        <w:gridCol w:w="164"/>
        <w:gridCol w:w="1026"/>
        <w:gridCol w:w="95"/>
        <w:gridCol w:w="60"/>
        <w:gridCol w:w="155"/>
        <w:gridCol w:w="974"/>
        <w:gridCol w:w="112"/>
      </w:tblGrid>
      <w:tr>
        <w:trPr/>
        <w:tc>
          <w:tcPr>
            <w:tcW w:w="7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1_20260331_zastmqbSyZE7"/>
            <w:bookmarkEnd w:id="34"/>
          </w:p>
        </w:tc>
        <w:tc>
          <w:tcPr>
            <w:tcW w:w="1190"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F_20251231_za0iFYyDNRxl"/>
            <w:bookmarkEnd w:id="35"/>
          </w:p>
        </w:tc>
        <w:tc>
          <w:tcPr>
            <w:tcW w:w="1129"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5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bookmarkStart w:id="36" w:name="xdx_403_eus-gaap--AssetsAbstract_iB_z1uK"/>
            <w:bookmarkEnd w:id="36"/>
          </w:p>
        </w:tc>
      </w:tr>
      <w:tr>
        <w:trPr/>
        <w:tc>
          <w:tcPr>
            <w:tcW w:w="7559"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7" w:name="xdx_406_eus-gaap--AssetsCurrentAbstract_"/>
            <w:bookmarkEnd w:id="37"/>
          </w:p>
        </w:tc>
      </w:tr>
      <w:tr>
        <w:trPr/>
        <w:tc>
          <w:tcPr>
            <w:tcW w:w="7559"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8" w:name="xdx_40C_eus-gaap--Cash_i02I_maACzsxb_zYg"/>
            <w:bookmarkEnd w:id="38"/>
          </w:p>
        </w:tc>
      </w:tr>
      <w:tr>
        <w:trPr/>
        <w:tc>
          <w:tcPr>
            <w:tcW w:w="7559"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20,316</w:t>
            </w:r>
          </w:p>
        </w:tc>
        <w:tc>
          <w:tcPr>
            <w:tcW w:w="112" w:type="dxa"/>
            <w:tcBorders/>
            <w:shd w:fill="CCEEFF" w:val="clear"/>
            <w:vAlign w:val="center"/>
          </w:tcPr>
          <w:p>
            <w:pPr>
              <w:pStyle w:val="TableContents"/>
              <w:bidi w:val="0"/>
              <w:spacing w:before="0" w:after="283"/>
              <w:jc w:val="left"/>
              <w:rPr/>
            </w:pPr>
            <w:r>
              <w:rPr/>
              <w:t> </w:t>
            </w:r>
            <w:bookmarkStart w:id="39" w:name="xdx_40B_ecustom--SalesTaxReceivable_i02I"/>
            <w:bookmarkEnd w:id="39"/>
          </w:p>
        </w:tc>
      </w:tr>
      <w:tr>
        <w:trPr/>
        <w:tc>
          <w:tcPr>
            <w:tcW w:w="7559" w:type="dxa"/>
            <w:tcBorders/>
            <w:shd w:fill="FFFFFF" w:val="clear"/>
            <w:vAlign w:val="center"/>
          </w:tcPr>
          <w:p>
            <w:pPr>
              <w:pStyle w:val="TableContents"/>
              <w:bidi w:val="0"/>
              <w:spacing w:before="0" w:after="283"/>
              <w:jc w:val="left"/>
              <w:rPr/>
            </w:pPr>
            <w:r>
              <w:rPr/>
              <w:t>Sales tax receivable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51</w:t>
            </w:r>
          </w:p>
        </w:tc>
        <w:tc>
          <w:tcPr>
            <w:tcW w:w="112" w:type="dxa"/>
            <w:tcBorders/>
            <w:shd w:fill="FFFFFF" w:val="clear"/>
            <w:vAlign w:val="center"/>
          </w:tcPr>
          <w:p>
            <w:pPr>
              <w:pStyle w:val="TableContents"/>
              <w:bidi w:val="0"/>
              <w:spacing w:before="0" w:after="283"/>
              <w:jc w:val="left"/>
              <w:rPr/>
            </w:pPr>
            <w:r>
              <w:rPr/>
              <w:t> </w:t>
            </w:r>
            <w:bookmarkStart w:id="40" w:name="xdx_40B_eus-gaap--OtherReceivablesNetCur"/>
            <w:bookmarkEnd w:id="40"/>
          </w:p>
        </w:tc>
      </w:tr>
      <w:tr>
        <w:trPr/>
        <w:tc>
          <w:tcPr>
            <w:tcW w:w="7559" w:type="dxa"/>
            <w:tcBorders/>
            <w:shd w:fill="CCEEFF" w:val="clear"/>
            <w:vAlign w:val="center"/>
          </w:tcPr>
          <w:p>
            <w:pPr>
              <w:pStyle w:val="TableContents"/>
              <w:bidi w:val="0"/>
              <w:spacing w:before="0" w:after="283"/>
              <w:jc w:val="left"/>
              <w:rPr/>
            </w:pPr>
            <w:r>
              <w:rPr/>
              <w:t>Due from related party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11</w:t>
            </w:r>
          </w:p>
        </w:tc>
        <w:tc>
          <w:tcPr>
            <w:tcW w:w="112" w:type="dxa"/>
            <w:tcBorders/>
            <w:shd w:fill="CCEEFF" w:val="clear"/>
            <w:vAlign w:val="center"/>
          </w:tcPr>
          <w:p>
            <w:pPr>
              <w:pStyle w:val="TableContents"/>
              <w:bidi w:val="0"/>
              <w:spacing w:before="0" w:after="283"/>
              <w:jc w:val="left"/>
              <w:rPr/>
            </w:pPr>
            <w:r>
              <w:rPr/>
              <w:t> </w:t>
            </w:r>
            <w:bookmarkStart w:id="41" w:name="xdx_403_eus-gaap--MarketableSecurities_i"/>
            <w:bookmarkEnd w:id="41"/>
          </w:p>
        </w:tc>
      </w:tr>
      <w:tr>
        <w:trPr/>
        <w:tc>
          <w:tcPr>
            <w:tcW w:w="7559"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23,766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9,706</w:t>
            </w:r>
          </w:p>
        </w:tc>
        <w:tc>
          <w:tcPr>
            <w:tcW w:w="112" w:type="dxa"/>
            <w:tcBorders/>
            <w:shd w:fill="FFFFFF" w:val="clear"/>
            <w:vAlign w:val="center"/>
          </w:tcPr>
          <w:p>
            <w:pPr>
              <w:pStyle w:val="TableContents"/>
              <w:bidi w:val="0"/>
              <w:spacing w:before="0" w:after="283"/>
              <w:jc w:val="left"/>
              <w:rPr/>
            </w:pPr>
            <w:r>
              <w:rPr/>
              <w:t> </w:t>
            </w:r>
            <w:bookmarkStart w:id="42" w:name="xdx_406_eus-gaap--OtherAssetsCurrent_i02"/>
            <w:bookmarkEnd w:id="42"/>
          </w:p>
        </w:tc>
      </w:tr>
      <w:tr>
        <w:trPr/>
        <w:tc>
          <w:tcPr>
            <w:tcW w:w="7559" w:type="dxa"/>
            <w:tcBorders/>
            <w:shd w:fill="CCEEFF" w:val="clear"/>
            <w:vAlign w:val="center"/>
          </w:tcPr>
          <w:p>
            <w:pPr>
              <w:pStyle w:val="TableContents"/>
              <w:bidi w:val="0"/>
              <w:spacing w:before="0" w:after="283"/>
              <w:jc w:val="left"/>
              <w:rPr/>
            </w:pPr>
            <w:r>
              <w:rPr/>
              <w:t>Other assets held for sale – restricted gold</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23,472</w:t>
            </w:r>
          </w:p>
        </w:tc>
        <w:tc>
          <w:tcPr>
            <w:tcW w:w="112" w:type="dxa"/>
            <w:tcBorders/>
            <w:shd w:fill="CCEEFF" w:val="clear"/>
            <w:vAlign w:val="center"/>
          </w:tcPr>
          <w:p>
            <w:pPr>
              <w:pStyle w:val="TableContents"/>
              <w:bidi w:val="0"/>
              <w:spacing w:before="0" w:after="283"/>
              <w:jc w:val="left"/>
              <w:rPr/>
            </w:pPr>
            <w:r>
              <w:rPr/>
              <w:t> </w:t>
            </w:r>
            <w:bookmarkStart w:id="43" w:name="xdx_40C_eus-gaap--OtherAssetsCurrent_i02"/>
            <w:bookmarkEnd w:id="43"/>
          </w:p>
        </w:tc>
      </w:tr>
      <w:tr>
        <w:trPr/>
        <w:tc>
          <w:tcPr>
            <w:tcW w:w="7559" w:type="dxa"/>
            <w:tcBorders/>
            <w:shd w:fill="FFFFFF" w:val="clear"/>
            <w:vAlign w:val="center"/>
          </w:tcPr>
          <w:p>
            <w:pPr>
              <w:pStyle w:val="TableContents"/>
              <w:bidi w:val="0"/>
              <w:spacing w:before="0" w:after="283"/>
              <w:jc w:val="left"/>
              <w:rPr/>
            </w:pPr>
            <w:r>
              <w:rPr/>
              <w:t>Other assets held for sale – gold</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1,000</w:t>
            </w:r>
          </w:p>
        </w:tc>
        <w:tc>
          <w:tcPr>
            <w:tcW w:w="112" w:type="dxa"/>
            <w:tcBorders/>
            <w:shd w:fill="FFFFFF" w:val="clear"/>
            <w:vAlign w:val="center"/>
          </w:tcPr>
          <w:p>
            <w:pPr>
              <w:pStyle w:val="TableContents"/>
              <w:bidi w:val="0"/>
              <w:spacing w:before="0" w:after="283"/>
              <w:jc w:val="left"/>
              <w:rPr/>
            </w:pPr>
            <w:r>
              <w:rPr/>
              <w:t> </w:t>
            </w:r>
            <w:bookmarkStart w:id="44" w:name="xdx_407_eus-gaap--PrepaidExpenseCurrent_"/>
            <w:bookmarkEnd w:id="44"/>
          </w:p>
        </w:tc>
      </w:tr>
      <w:tr>
        <w:trPr/>
        <w:tc>
          <w:tcPr>
            <w:tcW w:w="7559"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15,220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17,339</w:t>
            </w:r>
          </w:p>
        </w:tc>
        <w:tc>
          <w:tcPr>
            <w:tcW w:w="112" w:type="dxa"/>
            <w:tcBorders/>
            <w:shd w:fill="CCEEFF" w:val="clear"/>
            <w:vAlign w:val="center"/>
          </w:tcPr>
          <w:p>
            <w:pPr>
              <w:pStyle w:val="TableContents"/>
              <w:bidi w:val="0"/>
              <w:spacing w:before="0" w:after="283"/>
              <w:jc w:val="left"/>
              <w:rPr/>
            </w:pPr>
            <w:r>
              <w:rPr/>
              <w:t> </w:t>
            </w:r>
            <w:bookmarkStart w:id="45" w:name="xdx_40C_eus-gaap--AssetsCurrent_i02TI_mt"/>
            <w:bookmarkEnd w:id="45"/>
          </w:p>
        </w:tc>
      </w:tr>
      <w:tr>
        <w:trPr/>
        <w:tc>
          <w:tcPr>
            <w:tcW w:w="7559"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b/>
              </w:rPr>
            </w:pPr>
            <w:r>
              <w:rPr>
                <w:b/>
              </w:rPr>
              <w:t>45,904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b/>
              </w:rPr>
            </w:pPr>
            <w:r>
              <w:rPr>
                <w:b/>
              </w:rPr>
              <w:t>71,895</w:t>
            </w:r>
          </w:p>
        </w:tc>
        <w:tc>
          <w:tcPr>
            <w:tcW w:w="112" w:type="dxa"/>
            <w:tcBorders/>
            <w:shd w:fill="FFFFFF" w:val="clear"/>
            <w:vAlign w:val="center"/>
          </w:tcPr>
          <w:p>
            <w:pPr>
              <w:pStyle w:val="TableContents"/>
              <w:bidi w:val="0"/>
              <w:spacing w:before="0" w:after="283"/>
              <w:jc w:val="left"/>
              <w:rPr/>
            </w:pPr>
            <w:r>
              <w:rPr/>
              <w:t> </w:t>
            </w:r>
            <w:bookmarkStart w:id="46" w:name="xdx_406_eus-gaap--AssetsNoncurrentAbstra"/>
            <w:bookmarkEnd w:id="46"/>
          </w:p>
        </w:tc>
      </w:tr>
      <w:tr>
        <w:trPr/>
        <w:tc>
          <w:tcPr>
            <w:tcW w:w="7559"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7" w:name="xdx_401_eus-gaap--OtherAssetsNoncurrent_"/>
            <w:bookmarkEnd w:id="47"/>
          </w:p>
        </w:tc>
      </w:tr>
      <w:tr>
        <w:trPr/>
        <w:tc>
          <w:tcPr>
            <w:tcW w:w="7559" w:type="dxa"/>
            <w:tcBorders/>
            <w:shd w:fill="FFFFFF" w:val="clear"/>
            <w:vAlign w:val="center"/>
          </w:tcPr>
          <w:p>
            <w:pPr>
              <w:pStyle w:val="TableContents"/>
              <w:bidi w:val="0"/>
              <w:spacing w:before="0" w:after="283"/>
              <w:jc w:val="left"/>
              <w:rPr/>
            </w:pPr>
            <w:r>
              <w:rPr/>
              <w:t>Other assets held at cost – gold</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15,225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48" w:name="xdx_407_eus-gaap--PropertyPlantAndEquipm"/>
            <w:bookmarkEnd w:id="48"/>
          </w:p>
        </w:tc>
      </w:tr>
      <w:tr>
        <w:trPr/>
        <w:tc>
          <w:tcPr>
            <w:tcW w:w="7559"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25</w:t>
            </w:r>
          </w:p>
        </w:tc>
        <w:tc>
          <w:tcPr>
            <w:tcW w:w="112" w:type="dxa"/>
            <w:tcBorders/>
            <w:shd w:fill="CCEEFF" w:val="clear"/>
            <w:vAlign w:val="center"/>
          </w:tcPr>
          <w:p>
            <w:pPr>
              <w:pStyle w:val="TableContents"/>
              <w:bidi w:val="0"/>
              <w:spacing w:before="0" w:after="283"/>
              <w:jc w:val="left"/>
              <w:rPr/>
            </w:pPr>
            <w:r>
              <w:rPr/>
              <w:t> </w:t>
            </w:r>
            <w:bookmarkStart w:id="49" w:name="xdx_403_eus-gaap--IntangibleAssetsNetExc"/>
            <w:bookmarkEnd w:id="49"/>
          </w:p>
        </w:tc>
      </w:tr>
      <w:tr>
        <w:trPr/>
        <w:tc>
          <w:tcPr>
            <w:tcW w:w="7559"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42,418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44,639</w:t>
            </w:r>
          </w:p>
        </w:tc>
        <w:tc>
          <w:tcPr>
            <w:tcW w:w="112" w:type="dxa"/>
            <w:tcBorders/>
            <w:shd w:fill="FFFFFF" w:val="clear"/>
            <w:vAlign w:val="center"/>
          </w:tcPr>
          <w:p>
            <w:pPr>
              <w:pStyle w:val="TableContents"/>
              <w:bidi w:val="0"/>
              <w:spacing w:before="0" w:after="283"/>
              <w:jc w:val="left"/>
              <w:rPr/>
            </w:pPr>
            <w:r>
              <w:rPr/>
              <w:t> </w:t>
            </w:r>
            <w:bookmarkStart w:id="50" w:name="xdx_40F_eus-gaap--Goodwill_i02I_maANzXN3"/>
            <w:bookmarkEnd w:id="50"/>
          </w:p>
        </w:tc>
      </w:tr>
      <w:tr>
        <w:trPr/>
        <w:tc>
          <w:tcPr>
            <w:tcW w:w="7559"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69,758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70,984</w:t>
            </w:r>
          </w:p>
        </w:tc>
        <w:tc>
          <w:tcPr>
            <w:tcW w:w="112" w:type="dxa"/>
            <w:tcBorders/>
            <w:shd w:fill="CCEEFF" w:val="clear"/>
            <w:vAlign w:val="center"/>
          </w:tcPr>
          <w:p>
            <w:pPr>
              <w:pStyle w:val="TableContents"/>
              <w:bidi w:val="0"/>
              <w:spacing w:before="0" w:after="283"/>
              <w:jc w:val="left"/>
              <w:rPr/>
            </w:pPr>
            <w:r>
              <w:rPr/>
              <w:t> </w:t>
            </w:r>
            <w:bookmarkStart w:id="51" w:name="xdx_403_eus-gaap--AssetsNoncurrent_i01TI"/>
            <w:bookmarkEnd w:id="51"/>
          </w:p>
        </w:tc>
      </w:tr>
      <w:tr>
        <w:trPr/>
        <w:tc>
          <w:tcPr>
            <w:tcW w:w="7559"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127,413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115,648</w:t>
            </w:r>
          </w:p>
        </w:tc>
        <w:tc>
          <w:tcPr>
            <w:tcW w:w="112" w:type="dxa"/>
            <w:tcBorders/>
            <w:shd w:fill="FFFFFF" w:val="clear"/>
            <w:vAlign w:val="center"/>
          </w:tcPr>
          <w:p>
            <w:pPr>
              <w:pStyle w:val="TableContents"/>
              <w:bidi w:val="0"/>
              <w:spacing w:before="0" w:after="283"/>
              <w:jc w:val="left"/>
              <w:rPr/>
            </w:pPr>
            <w:r>
              <w:rPr/>
              <w:t> </w:t>
            </w:r>
            <w:bookmarkStart w:id="52" w:name="xdx_405_eus-gaap--Assets_i01TI_mtAzP5E_z"/>
            <w:bookmarkEnd w:id="52"/>
          </w:p>
        </w:tc>
      </w:tr>
      <w:tr>
        <w:trPr/>
        <w:tc>
          <w:tcPr>
            <w:tcW w:w="7559"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187,543</w:t>
            </w:r>
          </w:p>
        </w:tc>
        <w:tc>
          <w:tcPr>
            <w:tcW w:w="112"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3" w:name="xdx_40E_eus-gaap--LiabilitiesAndStockhol"/>
            <w:bookmarkEnd w:id="53"/>
          </w:p>
        </w:tc>
      </w:tr>
      <w:tr>
        <w:trPr/>
        <w:tc>
          <w:tcPr>
            <w:tcW w:w="7559" w:type="dxa"/>
            <w:tcBorders/>
            <w:shd w:fill="CCEEFF" w:val="clear"/>
            <w:vAlign w:val="center"/>
          </w:tcPr>
          <w:p>
            <w:pPr>
              <w:pStyle w:val="TableContents"/>
              <w:bidi w:val="0"/>
              <w:spacing w:before="0" w:after="283"/>
              <w:jc w:val="center"/>
              <w:rPr>
                <w:b/>
              </w:rPr>
            </w:pPr>
            <w:r>
              <w:rPr>
                <w:b/>
              </w:rPr>
              <w:t>LIABILITIES, MEZZANINE EQUITY AND STOCKHOLDERS’ EQUITY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4" w:name="xdx_408_eus-gaap--LiabilitiesAbstract_i0"/>
            <w:bookmarkEnd w:id="54"/>
          </w:p>
        </w:tc>
      </w:tr>
      <w:tr>
        <w:trPr/>
        <w:tc>
          <w:tcPr>
            <w:tcW w:w="7559"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5" w:name="xdx_40A_eus-gaap--AccountsPayableAndAccr"/>
            <w:bookmarkEnd w:id="55"/>
          </w:p>
        </w:tc>
      </w:tr>
      <w:tr>
        <w:trPr/>
        <w:tc>
          <w:tcPr>
            <w:tcW w:w="7559" w:type="dxa"/>
            <w:tcBorders/>
            <w:shd w:fill="CCEEFF" w:val="clear"/>
            <w:vAlign w:val="center"/>
          </w:tcPr>
          <w:p>
            <w:pPr>
              <w:pStyle w:val="TableContents"/>
              <w:bidi w:val="0"/>
              <w:spacing w:before="0" w:after="283"/>
              <w:jc w:val="left"/>
              <w:rPr/>
            </w:pPr>
            <w:r>
              <w:rPr/>
              <w:t>Accounts payable and accrued expenses, including $</w:t>
            </w:r>
            <w:bookmarkStart w:id="56" w:name="xdx_904_eus-gaap--AccountsPayableOtherCu"/>
            <w:bookmarkEnd w:id="56"/>
            <w:r>
              <w:rPr/>
              <w:t>907 and $</w:t>
            </w:r>
            <w:bookmarkStart w:id="57" w:name="xdx_907_eus-gaap--AccountsPayableOtherCu"/>
            <w:bookmarkEnd w:id="57"/>
            <w:r>
              <w:rPr/>
              <w:t>66 to related parties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3,179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2,952</w:t>
            </w:r>
          </w:p>
        </w:tc>
        <w:tc>
          <w:tcPr>
            <w:tcW w:w="112" w:type="dxa"/>
            <w:tcBorders/>
            <w:shd w:fill="CCEEFF" w:val="clear"/>
            <w:vAlign w:val="center"/>
          </w:tcPr>
          <w:p>
            <w:pPr>
              <w:pStyle w:val="TableContents"/>
              <w:bidi w:val="0"/>
              <w:spacing w:before="0" w:after="283"/>
              <w:jc w:val="left"/>
              <w:rPr/>
            </w:pPr>
            <w:r>
              <w:rPr/>
              <w:t> </w:t>
            </w:r>
            <w:bookmarkStart w:id="58" w:name="xdx_401_eus-gaap--DividendsPayableCurren"/>
            <w:bookmarkEnd w:id="58"/>
          </w:p>
        </w:tc>
      </w:tr>
      <w:tr>
        <w:trPr/>
        <w:tc>
          <w:tcPr>
            <w:tcW w:w="7559" w:type="dxa"/>
            <w:tcBorders/>
            <w:shd w:fill="FFFFFF" w:val="clear"/>
            <w:vAlign w:val="center"/>
          </w:tcPr>
          <w:p>
            <w:pPr>
              <w:pStyle w:val="TableContents"/>
              <w:bidi w:val="0"/>
              <w:spacing w:before="0" w:after="283"/>
              <w:jc w:val="left"/>
              <w:rPr/>
            </w:pPr>
            <w:r>
              <w:rPr/>
              <w:t>Dividends payable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121</w:t>
            </w:r>
          </w:p>
        </w:tc>
        <w:tc>
          <w:tcPr>
            <w:tcW w:w="112" w:type="dxa"/>
            <w:tcBorders/>
            <w:shd w:fill="FFFFFF" w:val="clear"/>
            <w:vAlign w:val="center"/>
          </w:tcPr>
          <w:p>
            <w:pPr>
              <w:pStyle w:val="TableContents"/>
              <w:bidi w:val="0"/>
              <w:spacing w:before="0" w:after="283"/>
              <w:jc w:val="left"/>
              <w:rPr/>
            </w:pPr>
            <w:r>
              <w:rPr/>
              <w:t> </w:t>
            </w:r>
            <w:bookmarkStart w:id="59" w:name="xdx_401_eus-gaap--ConvertibleNotesPayabl"/>
            <w:bookmarkEnd w:id="59"/>
          </w:p>
        </w:tc>
      </w:tr>
      <w:tr>
        <w:trPr/>
        <w:tc>
          <w:tcPr>
            <w:tcW w:w="7559" w:type="dxa"/>
            <w:tcBorders/>
            <w:shd w:fill="CCEEFF" w:val="clear"/>
            <w:vAlign w:val="center"/>
          </w:tcPr>
          <w:p>
            <w:pPr>
              <w:pStyle w:val="TableContents"/>
              <w:bidi w:val="0"/>
              <w:spacing w:before="0" w:after="283"/>
              <w:jc w:val="left"/>
              <w:rPr/>
            </w:pPr>
            <w:r>
              <w:rPr/>
              <w:t>Convertible debentures,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38,021</w:t>
            </w:r>
          </w:p>
        </w:tc>
        <w:tc>
          <w:tcPr>
            <w:tcW w:w="112" w:type="dxa"/>
            <w:tcBorders/>
            <w:shd w:fill="CCEEFF" w:val="clear"/>
            <w:vAlign w:val="center"/>
          </w:tcPr>
          <w:p>
            <w:pPr>
              <w:pStyle w:val="TableContents"/>
              <w:bidi w:val="0"/>
              <w:spacing w:before="0" w:after="283"/>
              <w:jc w:val="left"/>
              <w:rPr/>
            </w:pPr>
            <w:r>
              <w:rPr/>
              <w:t> </w:t>
            </w:r>
            <w:bookmarkStart w:id="60" w:name="xdx_402_eus-gaap--DerivativeLiabilitiesC"/>
            <w:bookmarkEnd w:id="60"/>
          </w:p>
        </w:tc>
      </w:tr>
      <w:tr>
        <w:trPr/>
        <w:tc>
          <w:tcPr>
            <w:tcW w:w="7559" w:type="dxa"/>
            <w:tcBorders/>
            <w:shd w:fill="FFFFFF" w:val="clear"/>
            <w:vAlign w:val="center"/>
          </w:tcPr>
          <w:p>
            <w:pPr>
              <w:pStyle w:val="TableContents"/>
              <w:bidi w:val="0"/>
              <w:spacing w:before="0" w:after="283"/>
              <w:jc w:val="left"/>
              <w:rPr/>
            </w:pPr>
            <w:r>
              <w:rPr/>
              <w:t>Embedded derivative liability</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1,700</w:t>
            </w:r>
          </w:p>
        </w:tc>
        <w:tc>
          <w:tcPr>
            <w:tcW w:w="112" w:type="dxa"/>
            <w:tcBorders/>
            <w:shd w:fill="FFFFFF" w:val="clear"/>
            <w:vAlign w:val="center"/>
          </w:tcPr>
          <w:p>
            <w:pPr>
              <w:pStyle w:val="TableContents"/>
              <w:bidi w:val="0"/>
              <w:spacing w:before="0" w:after="283"/>
              <w:jc w:val="left"/>
              <w:rPr/>
            </w:pPr>
            <w:r>
              <w:rPr/>
              <w:t> </w:t>
            </w:r>
            <w:bookmarkStart w:id="61" w:name="xdx_406_eus-gaap--LiabilitiesCurrent_i02"/>
            <w:bookmarkEnd w:id="61"/>
          </w:p>
        </w:tc>
      </w:tr>
      <w:tr>
        <w:trPr/>
        <w:tc>
          <w:tcPr>
            <w:tcW w:w="7559"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b/>
              </w:rPr>
            </w:pPr>
            <w:r>
              <w:rPr>
                <w:b/>
              </w:rPr>
              <w:t>3,302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42,794</w:t>
            </w:r>
          </w:p>
        </w:tc>
        <w:tc>
          <w:tcPr>
            <w:tcW w:w="112" w:type="dxa"/>
            <w:tcBorders/>
            <w:shd w:fill="CCEEFF" w:val="clear"/>
            <w:vAlign w:val="center"/>
          </w:tcPr>
          <w:p>
            <w:pPr>
              <w:pStyle w:val="TableContents"/>
              <w:bidi w:val="0"/>
              <w:spacing w:before="0" w:after="283"/>
              <w:jc w:val="left"/>
              <w:rPr/>
            </w:pPr>
            <w:r>
              <w:rPr/>
              <w:t> </w:t>
            </w:r>
            <w:bookmarkStart w:id="62" w:name="xdx_40D_eus-gaap--DeferredIncomeTaxLiabi"/>
            <w:bookmarkEnd w:id="62"/>
          </w:p>
        </w:tc>
      </w:tr>
      <w:tr>
        <w:trPr/>
        <w:tc>
          <w:tcPr>
            <w:tcW w:w="7559"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pPr>
            <w:r>
              <w:rPr/>
              <w:t>10,669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11,421</w:t>
            </w:r>
          </w:p>
        </w:tc>
        <w:tc>
          <w:tcPr>
            <w:tcW w:w="112" w:type="dxa"/>
            <w:tcBorders/>
            <w:shd w:fill="FFFFFF" w:val="clear"/>
            <w:vAlign w:val="center"/>
          </w:tcPr>
          <w:p>
            <w:pPr>
              <w:pStyle w:val="TableContents"/>
              <w:bidi w:val="0"/>
              <w:spacing w:before="0" w:after="283"/>
              <w:jc w:val="left"/>
              <w:rPr/>
            </w:pPr>
            <w:r>
              <w:rPr/>
              <w:t> </w:t>
            </w:r>
            <w:bookmarkStart w:id="63" w:name="xdx_406_eus-gaap--Liabilities_i01TI_maLA"/>
            <w:bookmarkEnd w:id="63"/>
          </w:p>
        </w:tc>
      </w:tr>
      <w:tr>
        <w:trPr/>
        <w:tc>
          <w:tcPr>
            <w:tcW w:w="7559"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b/>
              </w:rPr>
            </w:pPr>
            <w:r>
              <w:rPr>
                <w:b/>
              </w:rPr>
              <w:t>13,971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b/>
              </w:rPr>
            </w:pPr>
            <w:r>
              <w:rPr>
                <w:b/>
              </w:rPr>
              <w:t>54,215</w:t>
            </w:r>
          </w:p>
        </w:tc>
        <w:tc>
          <w:tcPr>
            <w:tcW w:w="112"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4" w:name="xdx_405_eus-gaap--CommitmentsAndContinge"/>
            <w:bookmarkEnd w:id="64"/>
          </w:p>
        </w:tc>
      </w:tr>
      <w:tr>
        <w:trPr/>
        <w:tc>
          <w:tcPr>
            <w:tcW w:w="7559" w:type="dxa"/>
            <w:tcBorders/>
            <w:shd w:fill="CCEEFF" w:val="clear"/>
            <w:vAlign w:val="center"/>
          </w:tcPr>
          <w:p>
            <w:pPr>
              <w:pStyle w:val="TableContents"/>
              <w:bidi w:val="0"/>
              <w:spacing w:before="0" w:after="283"/>
              <w:jc w:val="left"/>
              <w:rPr/>
            </w:pPr>
            <w:r>
              <w:rPr/>
              <w:t>Commitments and contingencies (Note 16)</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5" w:name="xdx_406_eus-gaap--TemporaryEquityAbstrac"/>
            <w:bookmarkEnd w:id="65"/>
          </w:p>
        </w:tc>
      </w:tr>
      <w:tr>
        <w:trPr/>
        <w:tc>
          <w:tcPr>
            <w:tcW w:w="7559" w:type="dxa"/>
            <w:tcBorders/>
            <w:shd w:fill="CCEEFF" w:val="clear"/>
            <w:vAlign w:val="center"/>
          </w:tcPr>
          <w:p>
            <w:pPr>
              <w:pStyle w:val="TableContents"/>
              <w:bidi w:val="0"/>
              <w:spacing w:before="0" w:after="283"/>
              <w:jc w:val="left"/>
              <w:rPr>
                <w:b/>
              </w:rPr>
            </w:pPr>
            <w:r>
              <w:rPr>
                <w:b/>
              </w:rPr>
              <w:t>Mezzanine equity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66" w:name="xdx_400_eus-gaap--TemporaryEquityCarryin"/>
            <w:bookmarkEnd w:id="66"/>
          </w:p>
        </w:tc>
      </w:tr>
      <w:tr>
        <w:trPr/>
        <w:tc>
          <w:tcPr>
            <w:tcW w:w="7559" w:type="dxa"/>
            <w:tcBorders/>
            <w:shd w:fill="FFFFFF" w:val="clear"/>
            <w:vAlign w:val="center"/>
          </w:tcPr>
          <w:p>
            <w:pPr>
              <w:pStyle w:val="TableContents"/>
              <w:bidi w:val="0"/>
              <w:spacing w:before="0" w:after="283"/>
              <w:jc w:val="left"/>
              <w:rPr/>
            </w:pPr>
            <w:r>
              <w:rPr/>
              <w:t>Redeemable Series C 9% Convertible Preferred Stock, $</w:t>
            </w:r>
            <w:bookmarkStart w:id="67" w:name="xdx_906_eus-gaap--TemporaryEquityParOrSt"/>
            <w:bookmarkStart w:id="68" w:name="xdx_90F_eus-gaap--TemporaryEquityParOrSt"/>
            <w:bookmarkEnd w:id="67"/>
            <w:bookmarkEnd w:id="68"/>
            <w:r>
              <w:rPr/>
              <w:t>0.001 par value, $</w:t>
            </w:r>
            <w:bookmarkStart w:id="69" w:name="xdx_904_eus-gaap--TemporaryEquityValueEx"/>
            <w:bookmarkStart w:id="70" w:name="xdx_90A_eus-gaap--TemporaryEquityValueEx"/>
            <w:bookmarkEnd w:id="69"/>
            <w:bookmarkEnd w:id="70"/>
            <w:r>
              <w:rPr/>
              <w:t xml:space="preserve">1,000 stated value, authorized </w:t>
            </w:r>
            <w:bookmarkStart w:id="71" w:name="xdx_901_eus-gaap--TemporaryEquitySharesA"/>
            <w:bookmarkStart w:id="72" w:name="xdx_90E_eus-gaap--TemporaryEquitySharesA"/>
            <w:bookmarkEnd w:id="71"/>
            <w:bookmarkEnd w:id="72"/>
            <w:r>
              <w:rPr/>
              <w:t xml:space="preserve">4,200 shares, </w:t>
            </w:r>
            <w:bookmarkStart w:id="73" w:name="xdx_905_eus-gaap--TemporaryEquitySharesO"/>
            <w:bookmarkStart w:id="74" w:name="xdx_904_eus-gaap--TemporaryEquitySharesI"/>
            <w:bookmarkStart w:id="75" w:name="xdx_909_eus-gaap--TemporaryEquitySharesO"/>
            <w:bookmarkStart w:id="76" w:name="xdx_90A_eus-gaap--TemporaryEquitySharesI"/>
            <w:bookmarkEnd w:id="73"/>
            <w:bookmarkEnd w:id="74"/>
            <w:bookmarkEnd w:id="75"/>
            <w:bookmarkEnd w:id="76"/>
            <w:r>
              <w:rPr/>
              <w:t>105 shares issued and outstanding; (liquidation preference of $</w:t>
            </w:r>
            <w:bookmarkStart w:id="77" w:name="xdx_908_eus-gaap--TemporaryEquityLiquida"/>
            <w:bookmarkStart w:id="78" w:name="xdx_90E_eus-gaap--TemporaryEquityLiquida"/>
            <w:bookmarkEnd w:id="77"/>
            <w:bookmarkEnd w:id="78"/>
            <w:r>
              <w:rPr/>
              <w:t>105; cumulative dividends payable of $</w:t>
            </w:r>
            <w:bookmarkStart w:id="79" w:name="xdx_90B_eus-gaap--CumulativeDividends_iI"/>
            <w:bookmarkEnd w:id="79"/>
            <w:r>
              <w:rPr/>
              <w:t>123 and $</w:t>
            </w:r>
            <w:bookmarkStart w:id="80" w:name="xdx_90F_eus-gaap--CumulativeDividends_iI"/>
            <w:bookmarkEnd w:id="80"/>
            <w:r>
              <w:rPr/>
              <w:t>121 as of March 31,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105</w:t>
            </w:r>
          </w:p>
        </w:tc>
        <w:tc>
          <w:tcPr>
            <w:tcW w:w="112"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81" w:name="xdx_408_eus-gaap--StockholdersEquityAbst"/>
            <w:bookmarkEnd w:id="81"/>
          </w:p>
        </w:tc>
      </w:tr>
      <w:tr>
        <w:trPr/>
        <w:tc>
          <w:tcPr>
            <w:tcW w:w="7559"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2" w:name="xdx_405_eus-gaap--PreferredStockValue_i0"/>
            <w:bookmarkEnd w:id="82"/>
          </w:p>
        </w:tc>
      </w:tr>
      <w:tr>
        <w:trPr/>
        <w:tc>
          <w:tcPr>
            <w:tcW w:w="7559" w:type="dxa"/>
            <w:tcBorders/>
            <w:shd w:fill="CCEEFF" w:val="clear"/>
            <w:vAlign w:val="center"/>
          </w:tcPr>
          <w:p>
            <w:pPr>
              <w:pStyle w:val="TableContents"/>
              <w:bidi w:val="0"/>
              <w:spacing w:before="0" w:after="283"/>
              <w:jc w:val="left"/>
              <w:rPr/>
            </w:pPr>
            <w:r>
              <w:rPr/>
              <w:t>Preferred stock, $</w:t>
            </w:r>
            <w:bookmarkStart w:id="83" w:name="xdx_90E_eus-gaap--PreferredStockParOrSta"/>
            <w:bookmarkStart w:id="84" w:name="xdx_90A_eus-gaap--PreferredStockParOrSta"/>
            <w:bookmarkEnd w:id="83"/>
            <w:bookmarkEnd w:id="84"/>
            <w:r>
              <w:rPr/>
              <w:t xml:space="preserve">0.001 par value, authorized </w:t>
            </w:r>
            <w:bookmarkStart w:id="85" w:name="xdx_908_eus-gaap--PreferredStockSharesAu"/>
            <w:bookmarkStart w:id="86" w:name="xdx_902_eus-gaap--PreferredStockSharesAu"/>
            <w:bookmarkEnd w:id="85"/>
            <w:bookmarkEnd w:id="86"/>
            <w:r>
              <w:rPr/>
              <w:t xml:space="preserve">1,000,000 shares, designated </w:t>
            </w:r>
            <w:bookmarkStart w:id="87" w:name="xdx_90F_eus-gaap--PreferredStockSharesAu"/>
            <w:bookmarkStart w:id="88" w:name="xdx_90D_eus-gaap--PreferredStockSharesAu"/>
            <w:bookmarkEnd w:id="87"/>
            <w:bookmarkEnd w:id="88"/>
            <w:r>
              <w:rPr/>
              <w:t xml:space="preserve">200 shares of Series A, </w:t>
            </w:r>
            <w:bookmarkStart w:id="89" w:name="xdx_90B_eus-gaap--PreferredStockSharesAu"/>
            <w:bookmarkStart w:id="90" w:name="xdx_903_eus-gaap--PreferredStockSharesAu"/>
            <w:bookmarkEnd w:id="89"/>
            <w:bookmarkEnd w:id="90"/>
            <w:r>
              <w:rPr/>
              <w:t xml:space="preserve">600 shares of Series B, </w:t>
            </w:r>
            <w:bookmarkStart w:id="91" w:name="xdx_907_eus-gaap--PreferredStockSharesAu"/>
            <w:bookmarkStart w:id="92" w:name="xdx_90C_eus-gaap--PreferredStockSharesAu"/>
            <w:bookmarkEnd w:id="91"/>
            <w:bookmarkEnd w:id="92"/>
            <w:r>
              <w:rPr/>
              <w:t xml:space="preserve">4,200 shares of Series C, </w:t>
            </w:r>
            <w:bookmarkStart w:id="93" w:name="xdx_90E_eus-gaap--PreferredStockSharesAu"/>
            <w:bookmarkStart w:id="94" w:name="xdx_901_eus-gaap--PreferredStockSharesAu"/>
            <w:bookmarkEnd w:id="93"/>
            <w:bookmarkEnd w:id="94"/>
            <w:r>
              <w:rPr/>
              <w:t xml:space="preserve">1,400 shares of Series D, </w:t>
            </w:r>
            <w:bookmarkStart w:id="95" w:name="xdx_902_eus-gaap--PreferredStockSharesAu"/>
            <w:bookmarkStart w:id="96" w:name="xdx_908_eus-gaap--PreferredStockSharesAu"/>
            <w:bookmarkEnd w:id="95"/>
            <w:bookmarkEnd w:id="96"/>
            <w:r>
              <w:rPr/>
              <w:t xml:space="preserve">1,000 shares of Series E, </w:t>
            </w:r>
            <w:bookmarkStart w:id="97" w:name="xdx_903_eus-gaap--PreferredStockSharesAu"/>
            <w:bookmarkStart w:id="98" w:name="xdx_907_eus-gaap--PreferredStockSharesAu"/>
            <w:bookmarkEnd w:id="97"/>
            <w:bookmarkEnd w:id="98"/>
            <w:r>
              <w:rPr/>
              <w:t xml:space="preserve">200,000 shares of Series F Preferred Stock and </w:t>
            </w:r>
            <w:bookmarkStart w:id="99" w:name="xdx_90E_eus-gaap--PreferredStockVotingRi"/>
            <w:bookmarkStart w:id="100" w:name="xdx_909_eus-gaap--PreferredStockVotingRi"/>
            <w:bookmarkEnd w:id="99"/>
            <w:bookmarkEnd w:id="100"/>
            <w:r>
              <w:rPr/>
              <w:t>1 Special Voting Preferred Stock.</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01" w:name="xdx_400_eus-gaap--CommonStockValue_i01I_"/>
            <w:bookmarkEnd w:id="101"/>
          </w:p>
        </w:tc>
      </w:tr>
      <w:tr>
        <w:trPr/>
        <w:tc>
          <w:tcPr>
            <w:tcW w:w="7559" w:type="dxa"/>
            <w:tcBorders/>
            <w:shd w:fill="FFFFFF" w:val="clear"/>
            <w:vAlign w:val="center"/>
          </w:tcPr>
          <w:p>
            <w:pPr>
              <w:pStyle w:val="TableContents"/>
              <w:bidi w:val="0"/>
              <w:spacing w:before="0" w:after="283"/>
              <w:jc w:val="left"/>
              <w:rPr/>
            </w:pPr>
            <w:r>
              <w:rPr/>
              <w:t>Common stock, $</w:t>
            </w:r>
            <w:bookmarkStart w:id="102" w:name="xdx_906_eus-gaap--CommonStockParOrStated"/>
            <w:bookmarkStart w:id="103" w:name="xdx_905_eus-gaap--CommonStockParOrStated"/>
            <w:bookmarkEnd w:id="102"/>
            <w:bookmarkEnd w:id="103"/>
            <w:r>
              <w:rPr/>
              <w:t xml:space="preserve">0.001 par value, authorized </w:t>
            </w:r>
            <w:bookmarkStart w:id="104" w:name="xdx_90E_eus-gaap--CommonStockSharesAutho"/>
            <w:bookmarkStart w:id="105" w:name="xdx_900_eus-gaap--CommonStockSharesAutho"/>
            <w:bookmarkEnd w:id="104"/>
            <w:bookmarkEnd w:id="105"/>
            <w:r>
              <w:rPr/>
              <w:t xml:space="preserve">500,000,000 shares, </w:t>
            </w:r>
            <w:bookmarkStart w:id="106" w:name="xdx_906_eus-gaap--CommonStockSharesOutst"/>
            <w:bookmarkStart w:id="107" w:name="xdx_90B_eus-gaap--CommonStockSharesIssue"/>
            <w:bookmarkEnd w:id="106"/>
            <w:bookmarkEnd w:id="107"/>
            <w:r>
              <w:rPr/>
              <w:t xml:space="preserve">97,721,696 and </w:t>
            </w:r>
            <w:bookmarkStart w:id="108" w:name="xdx_909_eus-gaap--CommonStockSharesOutst"/>
            <w:bookmarkStart w:id="109" w:name="xdx_90E_eus-gaap--CommonStockSharesIssue"/>
            <w:bookmarkEnd w:id="108"/>
            <w:bookmarkEnd w:id="109"/>
            <w:r>
              <w:rPr/>
              <w:t>49,805,275 issued and outstanding as of March 31,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50</w:t>
            </w:r>
          </w:p>
        </w:tc>
        <w:tc>
          <w:tcPr>
            <w:tcW w:w="112" w:type="dxa"/>
            <w:tcBorders/>
            <w:shd w:fill="FFFFFF" w:val="clear"/>
            <w:vAlign w:val="center"/>
          </w:tcPr>
          <w:p>
            <w:pPr>
              <w:pStyle w:val="TableContents"/>
              <w:bidi w:val="0"/>
              <w:spacing w:before="0" w:after="283"/>
              <w:jc w:val="left"/>
              <w:rPr/>
            </w:pPr>
            <w:r>
              <w:rPr/>
              <w:t> </w:t>
            </w:r>
            <w:bookmarkStart w:id="110" w:name="xdx_401_eus-gaap--AdditionalPaidInCapita"/>
            <w:bookmarkEnd w:id="110"/>
          </w:p>
        </w:tc>
      </w:tr>
      <w:tr>
        <w:trPr/>
        <w:tc>
          <w:tcPr>
            <w:tcW w:w="7559"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924,802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850,447</w:t>
            </w:r>
          </w:p>
        </w:tc>
        <w:tc>
          <w:tcPr>
            <w:tcW w:w="112" w:type="dxa"/>
            <w:tcBorders/>
            <w:shd w:fill="CCEEFF" w:val="clear"/>
            <w:vAlign w:val="center"/>
          </w:tcPr>
          <w:p>
            <w:pPr>
              <w:pStyle w:val="TableContents"/>
              <w:bidi w:val="0"/>
              <w:spacing w:before="0" w:after="283"/>
              <w:jc w:val="left"/>
              <w:rPr/>
            </w:pPr>
            <w:r>
              <w:rPr/>
              <w:t> </w:t>
            </w:r>
            <w:bookmarkStart w:id="111" w:name="xdx_40C_eus-gaap--AccumulatedOtherCompre"/>
            <w:bookmarkEnd w:id="111"/>
          </w:p>
        </w:tc>
      </w:tr>
      <w:tr>
        <w:trPr/>
        <w:tc>
          <w:tcPr>
            <w:tcW w:w="7559" w:type="dxa"/>
            <w:tcBorders/>
            <w:shd w:fill="FFFFFF" w:val="clear"/>
            <w:vAlign w:val="center"/>
          </w:tcPr>
          <w:p>
            <w:pPr>
              <w:pStyle w:val="TableContents"/>
              <w:bidi w:val="0"/>
              <w:spacing w:before="0" w:after="283"/>
              <w:jc w:val="left"/>
              <w:rPr/>
            </w:pPr>
            <w:r>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(1,102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814</w:t>
            </w:r>
          </w:p>
        </w:tc>
        <w:tc>
          <w:tcPr>
            <w:tcW w:w="112" w:type="dxa"/>
            <w:tcBorders/>
            <w:shd w:fill="FFFFFF" w:val="clear"/>
            <w:vAlign w:val="center"/>
          </w:tcPr>
          <w:p>
            <w:pPr>
              <w:pStyle w:val="TableContents"/>
              <w:bidi w:val="0"/>
              <w:spacing w:before="0" w:after="283"/>
              <w:jc w:val="left"/>
              <w:rPr/>
            </w:pPr>
            <w:r>
              <w:rPr/>
              <w:t> </w:t>
            </w:r>
            <w:bookmarkStart w:id="112" w:name="xdx_405_eus-gaap--RetainedEarningsAccumu"/>
            <w:bookmarkEnd w:id="112"/>
          </w:p>
        </w:tc>
      </w:tr>
      <w:tr>
        <w:trPr/>
        <w:tc>
          <w:tcPr>
            <w:tcW w:w="755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(764,813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(718,120</w:t>
            </w:r>
          </w:p>
        </w:tc>
        <w:tc>
          <w:tcPr>
            <w:tcW w:w="112" w:type="dxa"/>
            <w:tcBorders/>
            <w:shd w:fill="CCEEFF" w:val="clear"/>
            <w:vAlign w:val="center"/>
          </w:tcPr>
          <w:p>
            <w:pPr>
              <w:pStyle w:val="TableContents"/>
              <w:bidi w:val="0"/>
              <w:spacing w:before="0" w:after="283"/>
              <w:jc w:val="left"/>
              <w:rPr/>
            </w:pPr>
            <w:r>
              <w:rPr/>
              <w:t>)</w:t>
            </w:r>
            <w:bookmarkStart w:id="113" w:name="xdx_40A_eus-gaap--StockholdersEquity_i01"/>
            <w:bookmarkEnd w:id="113"/>
          </w:p>
        </w:tc>
      </w:tr>
      <w:tr>
        <w:trPr/>
        <w:tc>
          <w:tcPr>
            <w:tcW w:w="7559" w:type="dxa"/>
            <w:tcBorders/>
            <w:shd w:fill="FFFFFF" w:val="clear"/>
            <w:vAlign w:val="center"/>
          </w:tcPr>
          <w:p>
            <w:pPr>
              <w:pStyle w:val="TableContents"/>
              <w:bidi w:val="0"/>
              <w:spacing w:before="0" w:after="283"/>
              <w:jc w:val="left"/>
              <w:rPr>
                <w:b/>
              </w:rPr>
            </w:pPr>
            <w:r>
              <w:rPr>
                <w:b/>
              </w:rPr>
              <w:t>Total stockholders’ equity attributable to Streamex Corp.</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b/>
              </w:rPr>
            </w:pPr>
            <w:r>
              <w:rPr>
                <w:b/>
              </w:rPr>
              <w:t>158,985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b/>
              </w:rPr>
            </w:pPr>
            <w:r>
              <w:rPr>
                <w:b/>
              </w:rPr>
              <w:t>133,191</w:t>
            </w:r>
          </w:p>
        </w:tc>
        <w:tc>
          <w:tcPr>
            <w:tcW w:w="112" w:type="dxa"/>
            <w:tcBorders/>
            <w:shd w:fill="FFFFFF" w:val="clear"/>
            <w:vAlign w:val="center"/>
          </w:tcPr>
          <w:p>
            <w:pPr>
              <w:pStyle w:val="TableContents"/>
              <w:bidi w:val="0"/>
              <w:spacing w:before="0" w:after="283"/>
              <w:jc w:val="left"/>
              <w:rPr/>
            </w:pPr>
            <w:r>
              <w:rPr/>
              <w:t> </w:t>
            </w:r>
            <w:bookmarkStart w:id="114" w:name="xdx_40C_eus-gaap--MinorityInterest_i01I_"/>
            <w:bookmarkEnd w:id="114"/>
          </w:p>
        </w:tc>
      </w:tr>
      <w:tr>
        <w:trPr/>
        <w:tc>
          <w:tcPr>
            <w:tcW w:w="7559"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112" w:type="dxa"/>
            <w:tcBorders/>
            <w:shd w:fill="CCEEFF" w:val="clear"/>
            <w:vAlign w:val="center"/>
          </w:tcPr>
          <w:p>
            <w:pPr>
              <w:pStyle w:val="TableContents"/>
              <w:bidi w:val="0"/>
              <w:spacing w:before="0" w:after="283"/>
              <w:jc w:val="left"/>
              <w:rPr/>
            </w:pPr>
            <w:r>
              <w:rPr/>
              <w:t> </w:t>
            </w:r>
            <w:bookmarkStart w:id="115" w:name="xdx_40C_eus-gaap--StockholdersEquityIncl"/>
            <w:bookmarkEnd w:id="115"/>
          </w:p>
        </w:tc>
      </w:tr>
      <w:tr>
        <w:trPr/>
        <w:tc>
          <w:tcPr>
            <w:tcW w:w="7559"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159,241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133,223</w:t>
            </w:r>
          </w:p>
        </w:tc>
        <w:tc>
          <w:tcPr>
            <w:tcW w:w="112" w:type="dxa"/>
            <w:tcBorders/>
            <w:shd w:fill="FFFFFF" w:val="clear"/>
            <w:vAlign w:val="center"/>
          </w:tcPr>
          <w:p>
            <w:pPr>
              <w:pStyle w:val="TableContents"/>
              <w:bidi w:val="0"/>
              <w:spacing w:before="0" w:after="283"/>
              <w:jc w:val="left"/>
              <w:rPr/>
            </w:pPr>
            <w:r>
              <w:rPr/>
              <w:t> </w:t>
            </w:r>
            <w:bookmarkStart w:id="116" w:name="xdx_40B_eus-gaap--LiabilitiesAndStockhol"/>
            <w:bookmarkEnd w:id="116"/>
          </w:p>
        </w:tc>
      </w:tr>
      <w:tr>
        <w:trPr/>
        <w:tc>
          <w:tcPr>
            <w:tcW w:w="7559" w:type="dxa"/>
            <w:tcBorders/>
            <w:shd w:fill="CCEEFF" w:val="clear"/>
            <w:vAlign w:val="center"/>
          </w:tcPr>
          <w:p>
            <w:pPr>
              <w:pStyle w:val="TableContents"/>
              <w:bidi w:val="0"/>
              <w:spacing w:before="0" w:after="283"/>
              <w:jc w:val="left"/>
              <w:rPr>
                <w:b/>
              </w:rPr>
            </w:pPr>
            <w:r>
              <w:rPr>
                <w:b/>
              </w:rPr>
              <w:t>Total liabilities, mezzanine equity and stockholders’ equity</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187,543</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7" w:name="a_004"/>
      <w:bookmarkEnd w:id="117"/>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8" w:name="xdx_308_113_pn3n3_zFyOIHeSiJqj"/>
      <w:bookmarkStart w:id="119" w:name="xdx_308_113_pn3n3_zFyOIHeSiJqj"/>
      <w:bookmarkEnd w:id="119"/>
    </w:p>
    <w:tbl>
      <w:tblPr>
        <w:tblW w:w="10205" w:type="dxa"/>
        <w:jc w:val="left"/>
        <w:tblInd w:w="0" w:type="dxa"/>
        <w:tblLayout w:type="fixed"/>
        <w:tblCellMar>
          <w:top w:w="0" w:type="dxa"/>
          <w:left w:w="0" w:type="dxa"/>
          <w:bottom w:w="0" w:type="dxa"/>
          <w:right w:w="0" w:type="dxa"/>
        </w:tblCellMar>
      </w:tblPr>
      <w:tblGrid>
        <w:gridCol w:w="6159"/>
        <w:gridCol w:w="60"/>
        <w:gridCol w:w="196"/>
        <w:gridCol w:w="1716"/>
        <w:gridCol w:w="133"/>
        <w:gridCol w:w="83"/>
        <w:gridCol w:w="196"/>
        <w:gridCol w:w="1548"/>
        <w:gridCol w:w="114"/>
      </w:tblGrid>
      <w:tr>
        <w:trPr/>
        <w:tc>
          <w:tcPr>
            <w:tcW w:w="61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 w:name="xdx_49A_20260101__20260331_zdFilw66UQFh"/>
            <w:bookmarkEnd w:id="120"/>
          </w:p>
        </w:tc>
        <w:tc>
          <w:tcPr>
            <w:tcW w:w="19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bookmarkStart w:id="121" w:name="xdx_494_20250101__20250331_zx9emrCjDtph"/>
            <w:bookmarkEnd w:id="121"/>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61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4" w:type="dxa"/>
            <w:tcBorders/>
            <w:vAlign w:val="center"/>
          </w:tcPr>
          <w:p>
            <w:pPr>
              <w:pStyle w:val="TableContents"/>
              <w:bidi w:val="0"/>
              <w:spacing w:before="0" w:after="283"/>
              <w:jc w:val="left"/>
              <w:rPr/>
            </w:pPr>
            <w:r>
              <w:rPr/>
              <w:t> </w:t>
            </w:r>
          </w:p>
        </w:tc>
      </w:tr>
      <w:tr>
        <w:trPr/>
        <w:tc>
          <w:tcPr>
            <w:tcW w:w="61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bookmarkStart w:id="122" w:name="xdx_407_eus-gaap--RevenueFromContractWit"/>
            <w:bookmarkEnd w:id="122"/>
          </w:p>
        </w:tc>
      </w:tr>
      <w:tr>
        <w:trPr/>
        <w:tc>
          <w:tcPr>
            <w:tcW w:w="6159"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716" w:type="dxa"/>
            <w:tcBorders/>
            <w:shd w:fill="CCEEFF" w:val="clear"/>
            <w:vAlign w:val="center"/>
          </w:tcPr>
          <w:p>
            <w:pPr>
              <w:pStyle w:val="TableContents"/>
              <w:bidi w:val="0"/>
              <w:spacing w:before="0" w:after="283"/>
              <w:jc w:val="right"/>
              <w:rPr/>
            </w:pPr>
            <w:r>
              <w:rPr/>
              <w:t>-</w:t>
            </w:r>
          </w:p>
        </w:tc>
        <w:tc>
          <w:tcPr>
            <w:tcW w:w="13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548"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1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23" w:name="xdx_405_eus-gaap--OperatingExpensesAbstr"/>
            <w:bookmarkEnd w:id="123"/>
          </w:p>
        </w:tc>
      </w:tr>
      <w:tr>
        <w:trPr/>
        <w:tc>
          <w:tcPr>
            <w:tcW w:w="6159"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24" w:name="xdx_40A_eus-gaap--ResearchAndDevelopment"/>
            <w:bookmarkEnd w:id="124"/>
          </w:p>
        </w:tc>
      </w:tr>
      <w:tr>
        <w:trPr/>
        <w:tc>
          <w:tcPr>
            <w:tcW w:w="6159"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6</w:t>
            </w:r>
          </w:p>
        </w:tc>
        <w:tc>
          <w:tcPr>
            <w:tcW w:w="114" w:type="dxa"/>
            <w:tcBorders/>
            <w:shd w:fill="FFFFFF" w:val="clear"/>
            <w:vAlign w:val="center"/>
          </w:tcPr>
          <w:p>
            <w:pPr>
              <w:pStyle w:val="TableContents"/>
              <w:bidi w:val="0"/>
              <w:spacing w:before="0" w:after="283"/>
              <w:jc w:val="left"/>
              <w:rPr/>
            </w:pPr>
            <w:r>
              <w:rPr/>
              <w:t> </w:t>
            </w:r>
            <w:bookmarkStart w:id="125" w:name="xdx_40B_eus-gaap--GeneralAndAdministrati"/>
            <w:bookmarkEnd w:id="125"/>
          </w:p>
        </w:tc>
      </w:tr>
      <w:tr>
        <w:trPr/>
        <w:tc>
          <w:tcPr>
            <w:tcW w:w="6159"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34,254</w:t>
            </w:r>
          </w:p>
        </w:tc>
        <w:tc>
          <w:tcPr>
            <w:tcW w:w="13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2,957</w:t>
            </w:r>
          </w:p>
        </w:tc>
        <w:tc>
          <w:tcPr>
            <w:tcW w:w="114" w:type="dxa"/>
            <w:tcBorders/>
            <w:shd w:fill="CCEEFF" w:val="clear"/>
            <w:vAlign w:val="center"/>
          </w:tcPr>
          <w:p>
            <w:pPr>
              <w:pStyle w:val="TableContents"/>
              <w:bidi w:val="0"/>
              <w:spacing w:before="0" w:after="283"/>
              <w:jc w:val="left"/>
              <w:rPr/>
            </w:pPr>
            <w:r>
              <w:rPr/>
              <w:t> </w:t>
            </w:r>
            <w:bookmarkStart w:id="126" w:name="xdx_408_eus-gaap--DepreciationAndAmortiz"/>
            <w:bookmarkEnd w:id="126"/>
          </w:p>
        </w:tc>
      </w:tr>
      <w:tr>
        <w:trPr/>
        <w:tc>
          <w:tcPr>
            <w:tcW w:w="6159"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6" w:type="dxa"/>
            <w:tcBorders>
              <w:bottom w:val="single" w:sz="8" w:space="0" w:color="000000"/>
            </w:tcBorders>
            <w:shd w:fill="FFFFFF" w:val="clear"/>
            <w:tcMar>
              <w:bottom w:w="28" w:type="dxa"/>
            </w:tcMar>
            <w:vAlign w:val="center"/>
          </w:tcPr>
          <w:p>
            <w:pPr>
              <w:pStyle w:val="TableContents"/>
              <w:bidi w:val="0"/>
              <w:spacing w:before="0" w:after="283"/>
              <w:jc w:val="right"/>
              <w:rPr/>
            </w:pPr>
            <w:r>
              <w:rPr/>
              <w:t>1,492</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114" w:type="dxa"/>
            <w:tcBorders/>
            <w:shd w:fill="FFFFFF" w:val="clear"/>
            <w:vAlign w:val="center"/>
          </w:tcPr>
          <w:p>
            <w:pPr>
              <w:pStyle w:val="TableContents"/>
              <w:bidi w:val="0"/>
              <w:spacing w:before="0" w:after="283"/>
              <w:jc w:val="left"/>
              <w:rPr/>
            </w:pPr>
            <w:r>
              <w:rPr/>
              <w:t> </w:t>
            </w:r>
            <w:bookmarkStart w:id="127" w:name="xdx_407_eus-gaap--OperatingExpenses_i01T"/>
            <w:bookmarkEnd w:id="127"/>
          </w:p>
        </w:tc>
      </w:tr>
      <w:tr>
        <w:trPr/>
        <w:tc>
          <w:tcPr>
            <w:tcW w:w="6159"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6" w:type="dxa"/>
            <w:tcBorders>
              <w:bottom w:val="single" w:sz="8" w:space="0" w:color="000000"/>
            </w:tcBorders>
            <w:shd w:fill="CCEEFF" w:val="clear"/>
            <w:tcMar>
              <w:bottom w:w="28" w:type="dxa"/>
            </w:tcMar>
            <w:vAlign w:val="center"/>
          </w:tcPr>
          <w:p>
            <w:pPr>
              <w:pStyle w:val="TableContents"/>
              <w:bidi w:val="0"/>
              <w:spacing w:before="0" w:after="283"/>
              <w:jc w:val="right"/>
              <w:rPr/>
            </w:pPr>
            <w:r>
              <w:rPr/>
              <w:t>35,746</w:t>
            </w:r>
          </w:p>
        </w:tc>
        <w:tc>
          <w:tcPr>
            <w:tcW w:w="13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CCEEFF" w:val="clear"/>
            <w:tcMar>
              <w:bottom w:w="28" w:type="dxa"/>
            </w:tcMar>
            <w:vAlign w:val="center"/>
          </w:tcPr>
          <w:p>
            <w:pPr>
              <w:pStyle w:val="TableContents"/>
              <w:bidi w:val="0"/>
              <w:spacing w:before="0" w:after="283"/>
              <w:jc w:val="right"/>
              <w:rPr/>
            </w:pPr>
            <w:r>
              <w:rPr/>
              <w:t>2,984</w:t>
            </w:r>
          </w:p>
        </w:tc>
        <w:tc>
          <w:tcPr>
            <w:tcW w:w="114" w:type="dxa"/>
            <w:tcBorders/>
            <w:shd w:fill="CCEEFF" w:val="clear"/>
            <w:vAlign w:val="center"/>
          </w:tcPr>
          <w:p>
            <w:pPr>
              <w:pStyle w:val="TableContents"/>
              <w:bidi w:val="0"/>
              <w:spacing w:before="0" w:after="283"/>
              <w:jc w:val="left"/>
              <w:rPr/>
            </w:pPr>
            <w:r>
              <w:rPr/>
              <w:t> </w:t>
            </w:r>
          </w:p>
        </w:tc>
      </w:tr>
      <w:tr>
        <w:trPr/>
        <w:tc>
          <w:tcPr>
            <w:tcW w:w="61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28" w:name="xdx_409_eus-gaap--OperatingIncomeLoss_iT"/>
            <w:bookmarkEnd w:id="128"/>
          </w:p>
        </w:tc>
      </w:tr>
      <w:tr>
        <w:trPr/>
        <w:tc>
          <w:tcPr>
            <w:tcW w:w="6159"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(35,746</w:t>
            </w:r>
          </w:p>
        </w:tc>
        <w:tc>
          <w:tcPr>
            <w:tcW w:w="133" w:type="dxa"/>
            <w:tcBorders/>
            <w:shd w:fill="CCEEFF" w:val="clear"/>
            <w:vAlign w:val="center"/>
          </w:tcPr>
          <w:p>
            <w:pPr>
              <w:pStyle w:val="TableContents"/>
              <w:bidi w:val="0"/>
              <w:spacing w:before="0" w:after="283"/>
              <w:jc w:val="left"/>
              <w:rPr>
                <w:b/>
              </w:rPr>
            </w:pPr>
            <w:r>
              <w:rPr>
                <w:b/>
              </w:rPr>
              <w:t>)</w:t>
            </w:r>
          </w:p>
        </w:tc>
        <w:tc>
          <w:tcPr>
            <w:tcW w:w="83"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(2,984</w:t>
            </w:r>
          </w:p>
        </w:tc>
        <w:tc>
          <w:tcPr>
            <w:tcW w:w="114" w:type="dxa"/>
            <w:tcBorders/>
            <w:shd w:fill="CCEEFF" w:val="clear"/>
            <w:vAlign w:val="center"/>
          </w:tcPr>
          <w:p>
            <w:pPr>
              <w:pStyle w:val="TableContents"/>
              <w:bidi w:val="0"/>
              <w:spacing w:before="0" w:after="283"/>
              <w:jc w:val="left"/>
              <w:rPr>
                <w:b/>
              </w:rPr>
            </w:pPr>
            <w:r>
              <w:rPr>
                <w:b/>
              </w:rPr>
              <w:t>)</w:t>
            </w:r>
          </w:p>
        </w:tc>
      </w:tr>
      <w:tr>
        <w:trPr/>
        <w:tc>
          <w:tcPr>
            <w:tcW w:w="61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29" w:name="xdx_404_eus-gaap--NonoperatingIncomeExpe"/>
            <w:bookmarkEnd w:id="129"/>
          </w:p>
        </w:tc>
      </w:tr>
      <w:tr>
        <w:trPr/>
        <w:tc>
          <w:tcPr>
            <w:tcW w:w="6159"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30" w:name="xdx_409_eus-gaap--InterestIncomeExpenseN"/>
            <w:bookmarkEnd w:id="130"/>
          </w:p>
        </w:tc>
      </w:tr>
      <w:tr>
        <w:trPr/>
        <w:tc>
          <w:tcPr>
            <w:tcW w:w="6159"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(12,195</w:t>
            </w:r>
          </w:p>
        </w:tc>
        <w:tc>
          <w:tcPr>
            <w:tcW w:w="133"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31" w:name="xdx_403_eus-gaap--DebtSecuritiesAvailabl"/>
            <w:bookmarkEnd w:id="131"/>
          </w:p>
        </w:tc>
      </w:tr>
      <w:tr>
        <w:trPr/>
        <w:tc>
          <w:tcPr>
            <w:tcW w:w="6159" w:type="dxa"/>
            <w:tcBorders/>
            <w:shd w:fill="CCEEFF" w:val="clear"/>
            <w:vAlign w:val="center"/>
          </w:tcPr>
          <w:p>
            <w:pPr>
              <w:pStyle w:val="TableContents"/>
              <w:bidi w:val="0"/>
              <w:spacing w:before="0" w:after="283"/>
              <w:jc w:val="left"/>
              <w:rPr/>
            </w:pPr>
            <w:r>
              <w:rPr/>
              <w:t>Realized gain on sale of gold</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2,938</w:t>
            </w:r>
          </w:p>
        </w:tc>
        <w:tc>
          <w:tcPr>
            <w:tcW w:w="13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32" w:name="xdx_406_ecustom--RealizedGainOnMarketabl"/>
            <w:bookmarkEnd w:id="132"/>
          </w:p>
        </w:tc>
      </w:tr>
      <w:tr>
        <w:trPr/>
        <w:tc>
          <w:tcPr>
            <w:tcW w:w="6159" w:type="dxa"/>
            <w:tcBorders/>
            <w:shd w:fill="FFFFFF" w:val="clear"/>
            <w:vAlign w:val="center"/>
          </w:tcPr>
          <w:p>
            <w:pPr>
              <w:pStyle w:val="TableContents"/>
              <w:bidi w:val="0"/>
              <w:spacing w:before="0" w:after="283"/>
              <w:jc w:val="left"/>
              <w:rPr/>
            </w:pPr>
            <w:r>
              <w:rPr/>
              <w:t>Realized gain on marketable securities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484</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33" w:name="xdx_40B_ecustom--ChangeInFairValueOfMark"/>
            <w:bookmarkEnd w:id="133"/>
          </w:p>
        </w:tc>
      </w:tr>
      <w:tr>
        <w:trPr/>
        <w:tc>
          <w:tcPr>
            <w:tcW w:w="6159" w:type="dxa"/>
            <w:tcBorders/>
            <w:shd w:fill="CCEEFF" w:val="clear"/>
            <w:vAlign w:val="center"/>
          </w:tcPr>
          <w:p>
            <w:pPr>
              <w:pStyle w:val="TableContents"/>
              <w:bidi w:val="0"/>
              <w:spacing w:before="0" w:after="283"/>
              <w:jc w:val="left"/>
              <w:rPr/>
            </w:pPr>
            <w:r>
              <w:rPr/>
              <w:t>Change in fair value of marketable securities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(134</w:t>
            </w:r>
          </w:p>
        </w:tc>
        <w:tc>
          <w:tcPr>
            <w:tcW w:w="133"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34" w:name="xdx_408_ecustom--ChangeInFairValueOfEmbe"/>
            <w:bookmarkEnd w:id="134"/>
          </w:p>
        </w:tc>
      </w:tr>
      <w:tr>
        <w:trPr/>
        <w:tc>
          <w:tcPr>
            <w:tcW w:w="6159" w:type="dxa"/>
            <w:tcBorders/>
            <w:shd w:fill="FFFFFF" w:val="clear"/>
            <w:vAlign w:val="center"/>
          </w:tcPr>
          <w:p>
            <w:pPr>
              <w:pStyle w:val="TableContents"/>
              <w:bidi w:val="0"/>
              <w:spacing w:before="0" w:after="283"/>
              <w:jc w:val="left"/>
              <w:rPr/>
            </w:pPr>
            <w:r>
              <w:rPr/>
              <w:t>Change in fair value of embedded derivative</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497</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35" w:name="xdx_40C_eus-gaap--GainsLossesOnExtinguis"/>
            <w:bookmarkEnd w:id="135"/>
          </w:p>
        </w:tc>
      </w:tr>
      <w:tr>
        <w:trPr/>
        <w:tc>
          <w:tcPr>
            <w:tcW w:w="6159" w:type="dxa"/>
            <w:tcBorders/>
            <w:shd w:fill="CCEEFF" w:val="clear"/>
            <w:vAlign w:val="center"/>
          </w:tcPr>
          <w:p>
            <w:pPr>
              <w:pStyle w:val="TableContents"/>
              <w:bidi w:val="0"/>
              <w:spacing w:before="0" w:after="283"/>
              <w:jc w:val="left"/>
              <w:rPr/>
            </w:pPr>
            <w:r>
              <w:rPr/>
              <w:t>Realized loss on extinguishment of convertible debentures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(3,057</w:t>
            </w:r>
          </w:p>
        </w:tc>
        <w:tc>
          <w:tcPr>
            <w:tcW w:w="133"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36" w:name="xdx_405_eus-gaap--RealizedInvestmentGain"/>
            <w:bookmarkEnd w:id="136"/>
          </w:p>
        </w:tc>
      </w:tr>
      <w:tr>
        <w:trPr/>
        <w:tc>
          <w:tcPr>
            <w:tcW w:w="6159" w:type="dxa"/>
            <w:tcBorders/>
            <w:shd w:fill="FFFFFF" w:val="clear"/>
            <w:vAlign w:val="center"/>
          </w:tcPr>
          <w:p>
            <w:pPr>
              <w:pStyle w:val="TableContents"/>
              <w:bidi w:val="0"/>
              <w:spacing w:before="0" w:after="283"/>
              <w:jc w:val="left"/>
              <w:rPr/>
            </w:pPr>
            <w:r>
              <w:rPr/>
              <w:t>Realized loss on investment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(119</w:t>
            </w:r>
          </w:p>
        </w:tc>
        <w:tc>
          <w:tcPr>
            <w:tcW w:w="133"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37" w:name="xdx_406_ecustom--GainLossOnSettlementAnd"/>
            <w:bookmarkEnd w:id="137"/>
          </w:p>
        </w:tc>
      </w:tr>
      <w:tr>
        <w:trPr/>
        <w:tc>
          <w:tcPr>
            <w:tcW w:w="6159" w:type="dxa"/>
            <w:tcBorders/>
            <w:shd w:fill="CCEEFF" w:val="clear"/>
            <w:vAlign w:val="center"/>
          </w:tcPr>
          <w:p>
            <w:pPr>
              <w:pStyle w:val="TableContents"/>
              <w:bidi w:val="0"/>
              <w:spacing w:before="0" w:after="283"/>
              <w:jc w:val="left"/>
              <w:rPr/>
            </w:pPr>
            <w:r>
              <w:rPr/>
              <w:t>Gain on settlement and forgiveness of debt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w:t>
            </w:r>
          </w:p>
        </w:tc>
        <w:tc>
          <w:tcPr>
            <w:tcW w:w="13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199</w:t>
            </w:r>
          </w:p>
        </w:tc>
        <w:tc>
          <w:tcPr>
            <w:tcW w:w="114" w:type="dxa"/>
            <w:tcBorders/>
            <w:shd w:fill="CCEEFF" w:val="clear"/>
            <w:vAlign w:val="center"/>
          </w:tcPr>
          <w:p>
            <w:pPr>
              <w:pStyle w:val="TableContents"/>
              <w:bidi w:val="0"/>
              <w:spacing w:before="0" w:after="283"/>
              <w:jc w:val="left"/>
              <w:rPr/>
            </w:pPr>
            <w:r>
              <w:rPr/>
              <w:t> </w:t>
            </w:r>
            <w:bookmarkStart w:id="138" w:name="xdx_40A_eus-gaap--OtherNonoperatingIncom"/>
            <w:bookmarkEnd w:id="138"/>
          </w:p>
        </w:tc>
      </w:tr>
      <w:tr>
        <w:trPr/>
        <w:tc>
          <w:tcPr>
            <w:tcW w:w="6159"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6"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114" w:type="dxa"/>
            <w:tcBorders/>
            <w:shd w:fill="FFFFFF" w:val="clear"/>
            <w:vAlign w:val="center"/>
          </w:tcPr>
          <w:p>
            <w:pPr>
              <w:pStyle w:val="TableContents"/>
              <w:bidi w:val="0"/>
              <w:spacing w:before="0" w:after="283"/>
              <w:jc w:val="left"/>
              <w:rPr/>
            </w:pPr>
            <w:r>
              <w:rPr/>
              <w:t>)</w:t>
            </w:r>
            <w:bookmarkStart w:id="139" w:name="xdx_40A_eus-gaap--NonoperatingIncomeExpe"/>
            <w:bookmarkEnd w:id="139"/>
          </w:p>
        </w:tc>
      </w:tr>
      <w:tr>
        <w:trPr/>
        <w:tc>
          <w:tcPr>
            <w:tcW w:w="6159"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(11,513</w:t>
            </w:r>
          </w:p>
        </w:tc>
        <w:tc>
          <w:tcPr>
            <w:tcW w:w="133"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184</w:t>
            </w:r>
          </w:p>
        </w:tc>
        <w:tc>
          <w:tcPr>
            <w:tcW w:w="114" w:type="dxa"/>
            <w:tcBorders/>
            <w:shd w:fill="CCEEFF" w:val="clear"/>
            <w:vAlign w:val="center"/>
          </w:tcPr>
          <w:p>
            <w:pPr>
              <w:pStyle w:val="TableContents"/>
              <w:bidi w:val="0"/>
              <w:spacing w:before="0" w:after="283"/>
              <w:jc w:val="left"/>
              <w:rPr/>
            </w:pPr>
            <w:r>
              <w:rPr/>
              <w:t> </w:t>
            </w:r>
          </w:p>
        </w:tc>
      </w:tr>
      <w:tr>
        <w:trPr/>
        <w:tc>
          <w:tcPr>
            <w:tcW w:w="61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0" w:name="xdx_40B_eus-gaap--IncomeLossFromContinui"/>
            <w:bookmarkEnd w:id="140"/>
          </w:p>
        </w:tc>
      </w:tr>
      <w:tr>
        <w:trPr/>
        <w:tc>
          <w:tcPr>
            <w:tcW w:w="6159"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(47,259</w:t>
            </w:r>
          </w:p>
        </w:tc>
        <w:tc>
          <w:tcPr>
            <w:tcW w:w="133" w:type="dxa"/>
            <w:tcBorders/>
            <w:shd w:fill="CCEEFF" w:val="clear"/>
            <w:vAlign w:val="center"/>
          </w:tcPr>
          <w:p>
            <w:pPr>
              <w:pStyle w:val="TableContents"/>
              <w:bidi w:val="0"/>
              <w:spacing w:before="0" w:after="283"/>
              <w:jc w:val="left"/>
              <w:rPr>
                <w:b/>
              </w:rPr>
            </w:pPr>
            <w:r>
              <w:rPr>
                <w:b/>
              </w:rPr>
              <w:t>)</w:t>
            </w:r>
          </w:p>
        </w:tc>
        <w:tc>
          <w:tcPr>
            <w:tcW w:w="83"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(2,800</w:t>
            </w:r>
          </w:p>
        </w:tc>
        <w:tc>
          <w:tcPr>
            <w:tcW w:w="114" w:type="dxa"/>
            <w:tcBorders/>
            <w:shd w:fill="CCEEFF" w:val="clear"/>
            <w:vAlign w:val="center"/>
          </w:tcPr>
          <w:p>
            <w:pPr>
              <w:pStyle w:val="TableContents"/>
              <w:bidi w:val="0"/>
              <w:spacing w:before="0" w:after="283"/>
              <w:jc w:val="left"/>
              <w:rPr>
                <w:b/>
              </w:rPr>
            </w:pPr>
            <w:r>
              <w:rPr>
                <w:b/>
              </w:rPr>
              <w:t>)</w:t>
            </w:r>
          </w:p>
        </w:tc>
      </w:tr>
      <w:tr>
        <w:trPr/>
        <w:tc>
          <w:tcPr>
            <w:tcW w:w="61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1" w:name="xdx_402_eus-gaap--IncomeTaxExpenseBenefi"/>
            <w:bookmarkEnd w:id="141"/>
          </w:p>
        </w:tc>
      </w:tr>
      <w:tr>
        <w:trPr/>
        <w:tc>
          <w:tcPr>
            <w:tcW w:w="6159" w:type="dxa"/>
            <w:tcBorders/>
            <w:shd w:fill="CCEEFF" w:val="clear"/>
            <w:vAlign w:val="center"/>
          </w:tcPr>
          <w:p>
            <w:pPr>
              <w:pStyle w:val="TableContents"/>
              <w:bidi w:val="0"/>
              <w:spacing w:before="0" w:after="283"/>
              <w:jc w:val="left"/>
              <w:rPr/>
            </w:pPr>
            <w:r>
              <w:rPr/>
              <w:t>Income taxes (benefit)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6" w:type="dxa"/>
            <w:tcBorders>
              <w:bottom w:val="single" w:sz="8" w:space="0" w:color="000000"/>
            </w:tcBorders>
            <w:shd w:fill="CCEEFF" w:val="clear"/>
            <w:tcMar>
              <w:bottom w:w="28" w:type="dxa"/>
            </w:tcMar>
            <w:vAlign w:val="center"/>
          </w:tcPr>
          <w:p>
            <w:pPr>
              <w:pStyle w:val="TableContents"/>
              <w:bidi w:val="0"/>
              <w:spacing w:before="0" w:after="283"/>
              <w:jc w:val="right"/>
              <w:rPr/>
            </w:pPr>
            <w:r>
              <w:rPr/>
              <w:t>(565</w:t>
            </w:r>
          </w:p>
        </w:tc>
        <w:tc>
          <w:tcPr>
            <w:tcW w:w="133"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1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2" w:name="xdx_400_eus-gaap--ProfitLoss_iT_mtPLzVnm"/>
            <w:bookmarkEnd w:id="142"/>
          </w:p>
        </w:tc>
      </w:tr>
      <w:tr>
        <w:trPr/>
        <w:tc>
          <w:tcPr>
            <w:tcW w:w="6159"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b/>
              </w:rPr>
            </w:pPr>
            <w:r>
              <w:rPr>
                <w:b/>
              </w:rPr>
              <w:t>(46,694</w:t>
            </w:r>
          </w:p>
        </w:tc>
        <w:tc>
          <w:tcPr>
            <w:tcW w:w="133" w:type="dxa"/>
            <w:tcBorders/>
            <w:shd w:fill="CCEEFF" w:val="clear"/>
            <w:vAlign w:val="center"/>
          </w:tcPr>
          <w:p>
            <w:pPr>
              <w:pStyle w:val="TableContents"/>
              <w:bidi w:val="0"/>
              <w:spacing w:before="0" w:after="283"/>
              <w:jc w:val="left"/>
              <w:rPr>
                <w:b/>
              </w:rPr>
            </w:pPr>
            <w:r>
              <w:rPr>
                <w:b/>
              </w:rPr>
              <w:t>)</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b/>
              </w:rPr>
            </w:pPr>
            <w:r>
              <w:rPr>
                <w:b/>
              </w:rPr>
              <w:t>(2,800</w:t>
            </w:r>
          </w:p>
        </w:tc>
        <w:tc>
          <w:tcPr>
            <w:tcW w:w="114" w:type="dxa"/>
            <w:tcBorders/>
            <w:shd w:fill="CCEEFF" w:val="clear"/>
            <w:vAlign w:val="center"/>
          </w:tcPr>
          <w:p>
            <w:pPr>
              <w:pStyle w:val="TableContents"/>
              <w:bidi w:val="0"/>
              <w:spacing w:before="0" w:after="283"/>
              <w:jc w:val="left"/>
              <w:rPr>
                <w:b/>
              </w:rPr>
            </w:pPr>
            <w:r>
              <w:rPr>
                <w:b/>
              </w:rPr>
              <w:t>)</w:t>
            </w:r>
            <w:bookmarkStart w:id="143" w:name="xdx_40D_eus-gaap--NetIncomeLossAttributa"/>
            <w:bookmarkEnd w:id="143"/>
          </w:p>
        </w:tc>
      </w:tr>
      <w:tr>
        <w:trPr/>
        <w:tc>
          <w:tcPr>
            <w:tcW w:w="6159"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6"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114" w:type="dxa"/>
            <w:tcBorders/>
            <w:shd w:fill="FFFFFF" w:val="clear"/>
            <w:vAlign w:val="center"/>
          </w:tcPr>
          <w:p>
            <w:pPr>
              <w:pStyle w:val="TableContents"/>
              <w:bidi w:val="0"/>
              <w:spacing w:before="0" w:after="283"/>
              <w:jc w:val="left"/>
              <w:rPr/>
            </w:pPr>
            <w:r>
              <w:rPr/>
              <w:t>)</w:t>
            </w:r>
            <w:bookmarkStart w:id="144" w:name="xdx_400_eus-gaap--NetIncomeLoss_iT_mtNIL"/>
            <w:bookmarkEnd w:id="144"/>
          </w:p>
        </w:tc>
      </w:tr>
      <w:tr>
        <w:trPr/>
        <w:tc>
          <w:tcPr>
            <w:tcW w:w="6159" w:type="dxa"/>
            <w:tcBorders/>
            <w:shd w:fill="CCEEFF" w:val="clear"/>
            <w:vAlign w:val="center"/>
          </w:tcPr>
          <w:p>
            <w:pPr>
              <w:pStyle w:val="TableContents"/>
              <w:bidi w:val="0"/>
              <w:spacing w:before="0" w:after="283"/>
              <w:jc w:val="left"/>
              <w:rPr>
                <w:b/>
              </w:rPr>
            </w:pPr>
            <w:r>
              <w:rPr>
                <w:b/>
              </w:rPr>
              <w:t>Net loss attributable to Streamex Corp.</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b/>
              </w:rPr>
            </w:pPr>
            <w:r>
              <w:rPr>
                <w:b/>
              </w:rPr>
              <w:t>(46,693</w:t>
            </w:r>
          </w:p>
        </w:tc>
        <w:tc>
          <w:tcPr>
            <w:tcW w:w="133" w:type="dxa"/>
            <w:tcBorders/>
            <w:shd w:fill="CCEEFF" w:val="clear"/>
            <w:vAlign w:val="center"/>
          </w:tcPr>
          <w:p>
            <w:pPr>
              <w:pStyle w:val="TableContents"/>
              <w:bidi w:val="0"/>
              <w:spacing w:before="0" w:after="283"/>
              <w:jc w:val="left"/>
              <w:rPr>
                <w:b/>
              </w:rPr>
            </w:pPr>
            <w:r>
              <w:rPr>
                <w:b/>
              </w:rPr>
              <w:t>)</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b/>
              </w:rPr>
            </w:pPr>
            <w:r>
              <w:rPr>
                <w:b/>
              </w:rPr>
              <w:t>(2,812</w:t>
            </w:r>
          </w:p>
        </w:tc>
        <w:tc>
          <w:tcPr>
            <w:tcW w:w="114" w:type="dxa"/>
            <w:tcBorders/>
            <w:shd w:fill="CCEEFF" w:val="clear"/>
            <w:vAlign w:val="center"/>
          </w:tcPr>
          <w:p>
            <w:pPr>
              <w:pStyle w:val="TableContents"/>
              <w:bidi w:val="0"/>
              <w:spacing w:before="0" w:after="283"/>
              <w:jc w:val="left"/>
              <w:rPr>
                <w:b/>
              </w:rPr>
            </w:pPr>
            <w:r>
              <w:rPr>
                <w:b/>
              </w:rPr>
              <w:t>)</w:t>
            </w:r>
          </w:p>
        </w:tc>
      </w:tr>
      <w:tr>
        <w:trPr/>
        <w:tc>
          <w:tcPr>
            <w:tcW w:w="61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45" w:name="xdx_401_eus-gaap--DividendsPreferredStoc"/>
            <w:bookmarkEnd w:id="145"/>
          </w:p>
        </w:tc>
      </w:tr>
      <w:tr>
        <w:trPr/>
        <w:tc>
          <w:tcPr>
            <w:tcW w:w="6159" w:type="dxa"/>
            <w:tcBorders/>
            <w:shd w:fill="CCEEFF" w:val="clear"/>
            <w:vAlign w:val="center"/>
          </w:tcPr>
          <w:p>
            <w:pPr>
              <w:pStyle w:val="TableContents"/>
              <w:bidi w:val="0"/>
              <w:spacing w:before="0" w:after="283"/>
              <w:jc w:val="left"/>
              <w:rPr/>
            </w:pPr>
            <w:r>
              <w:rPr/>
              <w:t>Preferred stock dividend</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(2</w:t>
            </w:r>
          </w:p>
        </w:tc>
        <w:tc>
          <w:tcPr>
            <w:tcW w:w="133"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(2</w:t>
            </w:r>
          </w:p>
        </w:tc>
        <w:tc>
          <w:tcPr>
            <w:tcW w:w="114" w:type="dxa"/>
            <w:tcBorders/>
            <w:shd w:fill="CCEEFF" w:val="clear"/>
            <w:vAlign w:val="center"/>
          </w:tcPr>
          <w:p>
            <w:pPr>
              <w:pStyle w:val="TableContents"/>
              <w:bidi w:val="0"/>
              <w:spacing w:before="0" w:after="283"/>
              <w:jc w:val="left"/>
              <w:rPr/>
            </w:pPr>
            <w:r>
              <w:rPr/>
              <w:t>)</w:t>
            </w:r>
            <w:bookmarkStart w:id="146" w:name="xdx_408_eus-gaap--PreferredStockDividend"/>
            <w:bookmarkEnd w:id="146"/>
          </w:p>
        </w:tc>
      </w:tr>
      <w:tr>
        <w:trPr/>
        <w:tc>
          <w:tcPr>
            <w:tcW w:w="6159" w:type="dxa"/>
            <w:tcBorders/>
            <w:shd w:fill="FFFFFF" w:val="clear"/>
            <w:vAlign w:val="center"/>
          </w:tcPr>
          <w:p>
            <w:pPr>
              <w:pStyle w:val="TableContents"/>
              <w:bidi w:val="0"/>
              <w:spacing w:before="0" w:after="283"/>
              <w:jc w:val="left"/>
              <w:rPr/>
            </w:pPr>
            <w:r>
              <w:rPr/>
              <w:t>Preferred stock deemed dividend</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47" w:name="xdx_40F_eus-gaap--NetIncomeLossAvailable"/>
            <w:bookmarkEnd w:id="147"/>
          </w:p>
        </w:tc>
      </w:tr>
      <w:tr>
        <w:trPr/>
        <w:tc>
          <w:tcPr>
            <w:tcW w:w="6159" w:type="dxa"/>
            <w:tcBorders/>
            <w:shd w:fill="CCEEFF" w:val="clear"/>
            <w:vAlign w:val="center"/>
          </w:tcPr>
          <w:p>
            <w:pPr>
              <w:pStyle w:val="TableContents"/>
              <w:bidi w:val="0"/>
              <w:spacing w:before="0" w:after="283"/>
              <w:jc w:val="left"/>
              <w:rPr>
                <w:b/>
              </w:rPr>
            </w:pPr>
            <w:r>
              <w:rPr>
                <w:b/>
              </w:rPr>
              <w:t>Net loss attributed to Streamex Corp. Common Shareholders</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1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(46,695</w:t>
            </w:r>
          </w:p>
        </w:tc>
        <w:tc>
          <w:tcPr>
            <w:tcW w:w="133" w:type="dxa"/>
            <w:tcBorders/>
            <w:shd w:fill="CCEEFF" w:val="clear"/>
            <w:vAlign w:val="center"/>
          </w:tcPr>
          <w:p>
            <w:pPr>
              <w:pStyle w:val="TableContents"/>
              <w:bidi w:val="0"/>
              <w:spacing w:before="0" w:after="283"/>
              <w:jc w:val="left"/>
              <w:rPr>
                <w:b/>
              </w:rPr>
            </w:pPr>
            <w:r>
              <w:rPr>
                <w:b/>
              </w:rPr>
              <w:t>)</w:t>
            </w:r>
          </w:p>
        </w:tc>
        <w:tc>
          <w:tcPr>
            <w:tcW w:w="83"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(2,814</w:t>
            </w:r>
          </w:p>
        </w:tc>
        <w:tc>
          <w:tcPr>
            <w:tcW w:w="114" w:type="dxa"/>
            <w:tcBorders/>
            <w:shd w:fill="CCEEFF" w:val="clear"/>
            <w:vAlign w:val="center"/>
          </w:tcPr>
          <w:p>
            <w:pPr>
              <w:pStyle w:val="TableContents"/>
              <w:bidi w:val="0"/>
              <w:spacing w:before="0" w:after="283"/>
              <w:jc w:val="left"/>
              <w:rPr>
                <w:b/>
              </w:rPr>
            </w:pPr>
            <w:r>
              <w:rPr>
                <w:b/>
              </w:rPr>
              <w:t>)</w:t>
            </w:r>
          </w:p>
        </w:tc>
      </w:tr>
      <w:tr>
        <w:trPr/>
        <w:tc>
          <w:tcPr>
            <w:tcW w:w="6159" w:type="dxa"/>
            <w:tcBorders/>
            <w:shd w:fill="FFFFFF" w:val="clear"/>
            <w:vAlign w:val="center"/>
          </w:tcPr>
          <w:p>
            <w:pPr>
              <w:pStyle w:val="TableContents"/>
              <w:bidi w:val="0"/>
              <w:spacing w:before="0" w:after="283"/>
              <w:jc w:val="left"/>
              <w:rPr>
                <w:b/>
              </w:rPr>
            </w:pPr>
            <w:r>
              <w:rPr>
                <w:b/>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716"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148" w:name="xdx_90A_eus-gaap--EarningsPerShareDilute"/>
            <w:bookmarkStart w:id="149" w:name="xdx_90B_eus-gaap--EarningsPerShareBasic_"/>
            <w:bookmarkEnd w:id="148"/>
            <w:bookmarkEnd w:id="149"/>
            <w:r>
              <w:rPr>
                <w:b/>
              </w:rPr>
              <w:t>(0.27</w:t>
            </w:r>
          </w:p>
        </w:tc>
        <w:tc>
          <w:tcPr>
            <w:tcW w:w="133" w:type="dxa"/>
            <w:tcBorders/>
            <w:shd w:fill="FFFFFF" w:val="clear"/>
            <w:vAlign w:val="center"/>
          </w:tcPr>
          <w:p>
            <w:pPr>
              <w:pStyle w:val="TableContents"/>
              <w:bidi w:val="0"/>
              <w:spacing w:before="0" w:after="283"/>
              <w:jc w:val="left"/>
              <w:rPr>
                <w:b/>
              </w:rPr>
            </w:pPr>
            <w:r>
              <w:rPr>
                <w:b/>
              </w:rPr>
              <w:t>)</w:t>
            </w:r>
          </w:p>
        </w:tc>
        <w:tc>
          <w:tcPr>
            <w:tcW w:w="83"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548"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150" w:name="xdx_906_eus-gaap--EarningsPerShareDilute"/>
            <w:bookmarkStart w:id="151" w:name="xdx_905_eus-gaap--EarningsPerShareBasic_"/>
            <w:bookmarkEnd w:id="150"/>
            <w:bookmarkEnd w:id="151"/>
            <w:r>
              <w:rPr>
                <w:b/>
              </w:rPr>
              <w:t>(0.14</w:t>
            </w:r>
          </w:p>
        </w:tc>
        <w:tc>
          <w:tcPr>
            <w:tcW w:w="114" w:type="dxa"/>
            <w:tcBorders/>
            <w:shd w:fill="FFFFFF" w:val="clear"/>
            <w:vAlign w:val="center"/>
          </w:tcPr>
          <w:p>
            <w:pPr>
              <w:pStyle w:val="TableContents"/>
              <w:bidi w:val="0"/>
              <w:spacing w:before="0" w:after="283"/>
              <w:jc w:val="left"/>
              <w:rPr>
                <w:b/>
              </w:rPr>
            </w:pPr>
            <w:r>
              <w:rPr>
                <w:b/>
              </w:rPr>
              <w:t>)</w:t>
            </w:r>
          </w:p>
        </w:tc>
      </w:tr>
      <w:tr>
        <w:trPr/>
        <w:tc>
          <w:tcPr>
            <w:tcW w:w="6159" w:type="dxa"/>
            <w:tcBorders/>
            <w:shd w:fill="CCEEFF" w:val="clear"/>
            <w:vAlign w:val="center"/>
          </w:tcPr>
          <w:p>
            <w:pPr>
              <w:pStyle w:val="TableContents"/>
              <w:bidi w:val="0"/>
              <w:spacing w:before="0" w:after="283"/>
              <w:jc w:val="left"/>
              <w:rPr/>
            </w:pPr>
            <w:r>
              <w:rPr/>
              <w:t>Weighted average number of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1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52" w:name="xdx_90E_eus-gaap--WeightedAverageNumberO"/>
            <w:bookmarkStart w:id="153" w:name="xdx_905_eus-gaap--WeightedAverageNumberO"/>
            <w:bookmarkEnd w:id="152"/>
            <w:bookmarkEnd w:id="153"/>
            <w:r>
              <w:rPr/>
              <w:t>174,590,397</w:t>
            </w:r>
          </w:p>
        </w:tc>
        <w:tc>
          <w:tcPr>
            <w:tcW w:w="13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54" w:name="xdx_909_eus-gaap--WeightedAverageNumberO"/>
            <w:bookmarkStart w:id="155" w:name="xdx_900_eus-gaap--WeightedAverageNumberO"/>
            <w:bookmarkEnd w:id="154"/>
            <w:bookmarkEnd w:id="155"/>
            <w:r>
              <w:rPr/>
              <w:t>20,787,808</w:t>
            </w:r>
          </w:p>
        </w:tc>
        <w:tc>
          <w:tcPr>
            <w:tcW w:w="114" w:type="dxa"/>
            <w:tcBorders/>
            <w:shd w:fill="CCEEFF" w:val="clear"/>
            <w:vAlign w:val="center"/>
          </w:tcPr>
          <w:p>
            <w:pPr>
              <w:pStyle w:val="TableContents"/>
              <w:bidi w:val="0"/>
              <w:spacing w:before="0" w:after="283"/>
              <w:jc w:val="left"/>
              <w:rPr/>
            </w:pPr>
            <w:r>
              <w:rPr/>
              <w:t> </w:t>
            </w:r>
          </w:p>
        </w:tc>
      </w:tr>
      <w:tr>
        <w:trPr/>
        <w:tc>
          <w:tcPr>
            <w:tcW w:w="61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6" w:name="xdx_40F_eus-gaap--OtherComprehensiveInco"/>
            <w:bookmarkEnd w:id="156"/>
          </w:p>
        </w:tc>
      </w:tr>
      <w:tr>
        <w:trPr/>
        <w:tc>
          <w:tcPr>
            <w:tcW w:w="6159" w:type="dxa"/>
            <w:tcBorders/>
            <w:shd w:fill="CCEEFF" w:val="clear"/>
            <w:vAlign w:val="center"/>
          </w:tcPr>
          <w:p>
            <w:pPr>
              <w:pStyle w:val="TableContents"/>
              <w:bidi w:val="0"/>
              <w:spacing w:before="0" w:after="283"/>
              <w:jc w:val="left"/>
              <w:rPr>
                <w:b/>
              </w:rPr>
            </w:pPr>
            <w:r>
              <w:rPr>
                <w:b/>
              </w:rPr>
              <w:t>Comprehensive (Loss) Income: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7" w:name="xdx_40D_eus-gaap--ProfitLoss_iT_maCINOTz"/>
            <w:bookmarkEnd w:id="157"/>
          </w:p>
        </w:tc>
      </w:tr>
      <w:tr>
        <w:trPr/>
        <w:tc>
          <w:tcPr>
            <w:tcW w:w="615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p>
        </w:tc>
        <w:tc>
          <w:tcPr>
            <w:tcW w:w="1716" w:type="dxa"/>
            <w:tcBorders/>
            <w:shd w:fill="FFFFFF" w:val="clear"/>
            <w:vAlign w:val="center"/>
          </w:tcPr>
          <w:p>
            <w:pPr>
              <w:pStyle w:val="TableContents"/>
              <w:bidi w:val="0"/>
              <w:spacing w:before="0" w:after="283"/>
              <w:jc w:val="right"/>
              <w:rPr/>
            </w:pPr>
            <w:r>
              <w:rPr/>
              <w:t>(46,694</w:t>
            </w:r>
          </w:p>
        </w:tc>
        <w:tc>
          <w:tcPr>
            <w:tcW w:w="133"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w:t>
            </w:r>
          </w:p>
        </w:tc>
        <w:tc>
          <w:tcPr>
            <w:tcW w:w="1548" w:type="dxa"/>
            <w:tcBorders/>
            <w:shd w:fill="FFFFFF" w:val="clear"/>
            <w:vAlign w:val="center"/>
          </w:tcPr>
          <w:p>
            <w:pPr>
              <w:pStyle w:val="TableContents"/>
              <w:bidi w:val="0"/>
              <w:spacing w:before="0" w:after="283"/>
              <w:jc w:val="right"/>
              <w:rPr/>
            </w:pPr>
            <w:r>
              <w:rPr/>
              <w:t>(2,800</w:t>
            </w:r>
          </w:p>
        </w:tc>
        <w:tc>
          <w:tcPr>
            <w:tcW w:w="114" w:type="dxa"/>
            <w:tcBorders/>
            <w:shd w:fill="FFFFFF" w:val="clear"/>
            <w:vAlign w:val="center"/>
          </w:tcPr>
          <w:p>
            <w:pPr>
              <w:pStyle w:val="TableContents"/>
              <w:bidi w:val="0"/>
              <w:spacing w:before="0" w:after="283"/>
              <w:jc w:val="left"/>
              <w:rPr/>
            </w:pPr>
            <w:r>
              <w:rPr/>
              <w:t>)</w:t>
            </w:r>
          </w:p>
        </w:tc>
      </w:tr>
      <w:tr>
        <w:trPr/>
        <w:tc>
          <w:tcPr>
            <w:tcW w:w="6159"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58" w:name="xdx_40C_eus-gaap--OtherComprehensiveInco"/>
            <w:bookmarkEnd w:id="158"/>
          </w:p>
        </w:tc>
      </w:tr>
      <w:tr>
        <w:trPr/>
        <w:tc>
          <w:tcPr>
            <w:tcW w:w="6159" w:type="dxa"/>
            <w:tcBorders/>
            <w:shd w:fill="FFFFFF" w:val="clear"/>
            <w:vAlign w:val="center"/>
          </w:tcPr>
          <w:p>
            <w:pPr>
              <w:pStyle w:val="TableContents"/>
              <w:bidi w:val="0"/>
              <w:spacing w:before="0" w:after="283"/>
              <w:jc w:val="left"/>
              <w:rPr/>
            </w:pPr>
            <w:r>
              <w:rPr/>
              <w:t>Change in 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6" w:type="dxa"/>
            <w:tcBorders>
              <w:bottom w:val="single" w:sz="8" w:space="0" w:color="000000"/>
            </w:tcBorders>
            <w:shd w:fill="FFFFFF" w:val="clear"/>
            <w:tcMar>
              <w:bottom w:w="28" w:type="dxa"/>
            </w:tcMar>
            <w:vAlign w:val="center"/>
          </w:tcPr>
          <w:p>
            <w:pPr>
              <w:pStyle w:val="TableContents"/>
              <w:bidi w:val="0"/>
              <w:spacing w:before="0" w:after="283"/>
              <w:jc w:val="right"/>
              <w:rPr/>
            </w:pPr>
            <w:r>
              <w:rPr/>
              <w:t>(1,916</w:t>
            </w:r>
          </w:p>
        </w:tc>
        <w:tc>
          <w:tcPr>
            <w:tcW w:w="133"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59" w:name="xdx_402_eus-gaap--ComprehensiveIncomeNet"/>
            <w:bookmarkEnd w:id="159"/>
          </w:p>
        </w:tc>
      </w:tr>
      <w:tr>
        <w:trPr/>
        <w:tc>
          <w:tcPr>
            <w:tcW w:w="6159" w:type="dxa"/>
            <w:tcBorders/>
            <w:shd w:fill="CCEEFF" w:val="clear"/>
            <w:vAlign w:val="center"/>
          </w:tcPr>
          <w:p>
            <w:pPr>
              <w:pStyle w:val="TableContents"/>
              <w:bidi w:val="0"/>
              <w:spacing w:before="0" w:after="283"/>
              <w:jc w:val="left"/>
              <w:rPr/>
            </w:pPr>
            <w:r>
              <w:rPr/>
              <w:t>Total comprehensive loss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716" w:type="dxa"/>
            <w:tcBorders/>
            <w:shd w:fill="CCEEFF" w:val="clear"/>
            <w:vAlign w:val="center"/>
          </w:tcPr>
          <w:p>
            <w:pPr>
              <w:pStyle w:val="TableContents"/>
              <w:bidi w:val="0"/>
              <w:spacing w:before="0" w:after="283"/>
              <w:jc w:val="right"/>
              <w:rPr/>
            </w:pPr>
            <w:r>
              <w:rPr/>
              <w:t>(48,610</w:t>
            </w:r>
          </w:p>
        </w:tc>
        <w:tc>
          <w:tcPr>
            <w:tcW w:w="133"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(2,800</w:t>
            </w:r>
          </w:p>
        </w:tc>
        <w:tc>
          <w:tcPr>
            <w:tcW w:w="114" w:type="dxa"/>
            <w:tcBorders/>
            <w:shd w:fill="CCEEFF" w:val="clear"/>
            <w:vAlign w:val="center"/>
          </w:tcPr>
          <w:p>
            <w:pPr>
              <w:pStyle w:val="TableContents"/>
              <w:bidi w:val="0"/>
              <w:spacing w:before="0" w:after="283"/>
              <w:jc w:val="left"/>
              <w:rPr/>
            </w:pPr>
            <w:r>
              <w:rPr/>
              <w:t>)</w:t>
            </w:r>
            <w:bookmarkStart w:id="160" w:name="xdx_406_eus-gaap--ComprehensiveIncomeNet"/>
            <w:bookmarkEnd w:id="160"/>
          </w:p>
        </w:tc>
      </w:tr>
      <w:tr>
        <w:trPr/>
        <w:tc>
          <w:tcPr>
            <w:tcW w:w="6159" w:type="dxa"/>
            <w:tcBorders/>
            <w:shd w:fill="FFFFFF" w:val="clear"/>
            <w:vAlign w:val="center"/>
          </w:tcPr>
          <w:p>
            <w:pPr>
              <w:pStyle w:val="TableContents"/>
              <w:bidi w:val="0"/>
              <w:spacing w:before="0" w:after="283"/>
              <w:jc w:val="left"/>
              <w:rPr/>
            </w:pPr>
            <w:r>
              <w:rPr/>
              <w:t>Comprehensive (loss)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6"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3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48"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114" w:type="dxa"/>
            <w:tcBorders/>
            <w:shd w:fill="FFFFFF" w:val="clear"/>
            <w:vAlign w:val="center"/>
          </w:tcPr>
          <w:p>
            <w:pPr>
              <w:pStyle w:val="TableContents"/>
              <w:bidi w:val="0"/>
              <w:spacing w:before="0" w:after="283"/>
              <w:jc w:val="left"/>
              <w:rPr/>
            </w:pPr>
            <w:r>
              <w:rPr/>
              <w:t>)</w:t>
            </w:r>
            <w:bookmarkStart w:id="161" w:name="xdx_40F_eus-gaap--ComprehensiveIncomeNet"/>
            <w:bookmarkEnd w:id="161"/>
          </w:p>
        </w:tc>
      </w:tr>
      <w:tr>
        <w:trPr/>
        <w:tc>
          <w:tcPr>
            <w:tcW w:w="6159" w:type="dxa"/>
            <w:tcBorders/>
            <w:shd w:fill="CCEEFF" w:val="clear"/>
            <w:vAlign w:val="center"/>
          </w:tcPr>
          <w:p>
            <w:pPr>
              <w:pStyle w:val="TableContents"/>
              <w:bidi w:val="0"/>
              <w:spacing w:before="0" w:after="283"/>
              <w:jc w:val="left"/>
              <w:rPr>
                <w:b/>
              </w:rPr>
            </w:pPr>
            <w:r>
              <w:rPr>
                <w:b/>
              </w:rPr>
              <w:t>Comprehensive loss attributable to Streamex Corp.</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71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(48,609</w:t>
            </w:r>
          </w:p>
        </w:tc>
        <w:tc>
          <w:tcPr>
            <w:tcW w:w="133" w:type="dxa"/>
            <w:tcBorders/>
            <w:shd w:fill="CCEEFF" w:val="clear"/>
            <w:vAlign w:val="center"/>
          </w:tcPr>
          <w:p>
            <w:pPr>
              <w:pStyle w:val="TableContents"/>
              <w:bidi w:val="0"/>
              <w:spacing w:before="0" w:after="283"/>
              <w:jc w:val="left"/>
              <w:rPr>
                <w:b/>
              </w:rPr>
            </w:pPr>
            <w:r>
              <w:rPr>
                <w:b/>
              </w:rPr>
              <w:t>)</w:t>
            </w:r>
          </w:p>
        </w:tc>
        <w:tc>
          <w:tcPr>
            <w:tcW w:w="83"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4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(2,812</w:t>
            </w:r>
          </w:p>
        </w:tc>
        <w:tc>
          <w:tcPr>
            <w:tcW w:w="114"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2" w:name="a_005"/>
      <w:bookmarkEnd w:id="162"/>
      <w:r>
        <w:rPr>
          <w:rFonts w:ascii="Times New Roman;Times;Serif" w:hAnsi="Times New Roman;Times;Serif"/>
          <w:b/>
          <w:i w:val="false"/>
          <w:caps w:val="false"/>
          <w:smallCaps w:val="false"/>
          <w:sz w:val="20"/>
        </w:rPr>
        <w:t>CONDENSED CONSOLIDATED STATEMENT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63" w:name="xdx_300_114_pn3n3_zvOTGgEacLyd"/>
      <w:bookmarkStart w:id="164" w:name="xdx_300_114_pn3n3_zvOTGgEacLyd"/>
      <w:bookmarkEnd w:id="164"/>
    </w:p>
    <w:tbl>
      <w:tblPr>
        <w:tblW w:w="10205" w:type="dxa"/>
        <w:jc w:val="left"/>
        <w:tblInd w:w="0" w:type="dxa"/>
        <w:tblLayout w:type="fixed"/>
        <w:tblCellMar>
          <w:top w:w="0" w:type="dxa"/>
          <w:left w:w="0" w:type="dxa"/>
          <w:bottom w:w="0" w:type="dxa"/>
          <w:right w:w="0" w:type="dxa"/>
        </w:tblCellMar>
      </w:tblPr>
      <w:tblGrid>
        <w:gridCol w:w="1840"/>
        <w:gridCol w:w="60"/>
        <w:gridCol w:w="60"/>
        <w:gridCol w:w="1100"/>
        <w:gridCol w:w="60"/>
        <w:gridCol w:w="60"/>
        <w:gridCol w:w="301"/>
        <w:gridCol w:w="559"/>
        <w:gridCol w:w="60"/>
        <w:gridCol w:w="60"/>
        <w:gridCol w:w="140"/>
        <w:gridCol w:w="800"/>
        <w:gridCol w:w="95"/>
        <w:gridCol w:w="60"/>
        <w:gridCol w:w="155"/>
        <w:gridCol w:w="975"/>
        <w:gridCol w:w="95"/>
        <w:gridCol w:w="60"/>
        <w:gridCol w:w="242"/>
        <w:gridCol w:w="1098"/>
        <w:gridCol w:w="95"/>
        <w:gridCol w:w="60"/>
        <w:gridCol w:w="259"/>
        <w:gridCol w:w="706"/>
        <w:gridCol w:w="95"/>
        <w:gridCol w:w="60"/>
        <w:gridCol w:w="140"/>
        <w:gridCol w:w="800"/>
        <w:gridCol w:w="110"/>
      </w:tblGrid>
      <w:tr>
        <w:trPr/>
        <w:tc>
          <w:tcPr>
            <w:tcW w:w="1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B1_us-gaap--StatementEquityComponen"/>
            <w:bookmarkEnd w:id="16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 w:name="xdx_4B0_us-gaap--StatementEquityComponen"/>
            <w:bookmarkEnd w:id="166"/>
          </w:p>
        </w:tc>
        <w:tc>
          <w:tcPr>
            <w:tcW w:w="9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 w:name="xdx_4B2_us-gaap--StatementEquityComponen"/>
            <w:bookmarkEnd w:id="167"/>
          </w:p>
        </w:tc>
        <w:tc>
          <w:tcPr>
            <w:tcW w:w="113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BE_us-gaap--StatementEquityComponen"/>
            <w:bookmarkEnd w:id="168"/>
          </w:p>
        </w:tc>
        <w:tc>
          <w:tcPr>
            <w:tcW w:w="13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9" w:name="xdx_4BB_us-gaap--StatementEquityComponen"/>
            <w:bookmarkEnd w:id="169"/>
          </w:p>
        </w:tc>
        <w:tc>
          <w:tcPr>
            <w:tcW w:w="96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0" w:name="xdx_4B3_zB3xVawsKu43"/>
            <w:bookmarkEnd w:id="170"/>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bookmarkStart w:id="171" w:name="xdx_430_c20260101__20260331_eus-gaap--St"/>
            <w:bookmarkEnd w:id="171"/>
          </w:p>
        </w:tc>
      </w:tr>
      <w:tr>
        <w:trPr/>
        <w:tc>
          <w:tcPr>
            <w:tcW w:w="184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72" w:name="xdx_98A_eus-gaap--SharesOutstanding_iS_p"/>
            <w:bookmarkEnd w:id="172"/>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49,805,275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850,447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(718,120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0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133,223</w:t>
            </w:r>
          </w:p>
        </w:tc>
        <w:tc>
          <w:tcPr>
            <w:tcW w:w="110" w:type="dxa"/>
            <w:tcBorders/>
            <w:shd w:fill="CCEEFF" w:val="clear"/>
            <w:vAlign w:val="center"/>
          </w:tcPr>
          <w:p>
            <w:pPr>
              <w:pStyle w:val="TableContents"/>
              <w:bidi w:val="0"/>
              <w:spacing w:before="0" w:after="283"/>
              <w:jc w:val="left"/>
              <w:rPr/>
            </w:pPr>
            <w:r>
              <w:rPr/>
              <w:t> </w:t>
            </w:r>
            <w:bookmarkStart w:id="173" w:name="xdx_400_eus-gaap--StockIssuedDuringPerio"/>
            <w:bookmarkEnd w:id="173"/>
          </w:p>
        </w:tc>
      </w:tr>
      <w:tr>
        <w:trPr/>
        <w:tc>
          <w:tcPr>
            <w:tcW w:w="184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4" w:name="xdx_980_eus-gaap--StockIssuedDuringPerio"/>
            <w:bookmarkEnd w:id="174"/>
          </w:p>
        </w:tc>
        <w:tc>
          <w:tcPr>
            <w:tcW w:w="1100" w:type="dxa"/>
            <w:tcBorders/>
            <w:shd w:fill="FFFFFF" w:val="clear"/>
            <w:vAlign w:val="center"/>
          </w:tcPr>
          <w:p>
            <w:pPr>
              <w:pStyle w:val="TableContents"/>
              <w:bidi w:val="0"/>
              <w:spacing w:before="0" w:after="283"/>
              <w:jc w:val="right"/>
              <w:rPr/>
            </w:pPr>
            <w:r>
              <w:rPr/>
              <w:t>6,123,941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21,461</w:t>
            </w:r>
          </w:p>
        </w:tc>
        <w:tc>
          <w:tcPr>
            <w:tcW w:w="110" w:type="dxa"/>
            <w:tcBorders/>
            <w:shd w:fill="FFFFFF" w:val="clear"/>
            <w:vAlign w:val="center"/>
          </w:tcPr>
          <w:p>
            <w:pPr>
              <w:pStyle w:val="TableContents"/>
              <w:bidi w:val="0"/>
              <w:spacing w:before="0" w:after="283"/>
              <w:jc w:val="left"/>
              <w:rPr/>
            </w:pPr>
            <w:r>
              <w:rPr/>
              <w:t> </w:t>
            </w:r>
            <w:bookmarkStart w:id="175" w:name="xdx_407_eus-gaap--StockIssuedDuringPerio"/>
            <w:bookmarkEnd w:id="175"/>
          </w:p>
        </w:tc>
      </w:tr>
      <w:tr>
        <w:trPr/>
        <w:tc>
          <w:tcPr>
            <w:tcW w:w="1840"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 w:name="xdx_98F_eus-gaap--StockIssuedDuringPerio"/>
            <w:bookmarkEnd w:id="176"/>
          </w:p>
        </w:tc>
        <w:tc>
          <w:tcPr>
            <w:tcW w:w="1100" w:type="dxa"/>
            <w:tcBorders/>
            <w:shd w:fill="CCEEFF" w:val="clear"/>
            <w:vAlign w:val="center"/>
          </w:tcPr>
          <w:p>
            <w:pPr>
              <w:pStyle w:val="TableContents"/>
              <w:bidi w:val="0"/>
              <w:spacing w:before="0" w:after="283"/>
              <w:jc w:val="right"/>
              <w:rPr/>
            </w:pPr>
            <w:r>
              <w:rPr/>
              <w:t>54,647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rFonts w:ascii="Times New Roman;Times;Serif" w:hAnsi="Times New Roman;Times;Serif"/>
                <w:sz w:val="18"/>
              </w:rPr>
              <w:t>-</w:t>
            </w:r>
            <w:r>
              <w:rPr/>
              <w:t> </w:t>
            </w:r>
            <w:bookmarkStart w:id="177" w:name="xdx_F27_zsdDZUB4PSV4"/>
            <w:bookmarkEnd w:id="177"/>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8" w:name="xdx_40B_ecustom--StockIssuedDuringPeriod"/>
            <w:bookmarkEnd w:id="178"/>
          </w:p>
        </w:tc>
      </w:tr>
      <w:tr>
        <w:trPr/>
        <w:tc>
          <w:tcPr>
            <w:tcW w:w="1840" w:type="dxa"/>
            <w:tcBorders/>
            <w:shd w:fill="FFFFFF" w:val="clear"/>
            <w:vAlign w:val="center"/>
          </w:tcPr>
          <w:p>
            <w:pPr>
              <w:pStyle w:val="TableContents"/>
              <w:bidi w:val="0"/>
              <w:spacing w:before="0" w:after="283"/>
              <w:jc w:val="left"/>
              <w:rPr/>
            </w:pPr>
            <w:r>
              <w:rPr/>
              <w:t>Net proceeds from issuance of common stock in underwritten public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9" w:name="xdx_980_ecustom--StockIssuedDuringPeriod"/>
            <w:bookmarkEnd w:id="179"/>
          </w:p>
        </w:tc>
        <w:tc>
          <w:tcPr>
            <w:tcW w:w="1100" w:type="dxa"/>
            <w:tcBorders/>
            <w:shd w:fill="FFFFFF" w:val="clear"/>
            <w:vAlign w:val="center"/>
          </w:tcPr>
          <w:p>
            <w:pPr>
              <w:pStyle w:val="TableContents"/>
              <w:bidi w:val="0"/>
              <w:spacing w:before="0" w:after="283"/>
              <w:jc w:val="right"/>
              <w:rPr/>
            </w:pPr>
            <w:r>
              <w:rPr/>
              <w:t>13,416,667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37,184</w:t>
            </w:r>
          </w:p>
        </w:tc>
        <w:tc>
          <w:tcPr>
            <w:tcW w:w="110" w:type="dxa"/>
            <w:tcBorders/>
            <w:shd w:fill="FFFFFF" w:val="clear"/>
            <w:vAlign w:val="center"/>
          </w:tcPr>
          <w:p>
            <w:pPr>
              <w:pStyle w:val="TableContents"/>
              <w:bidi w:val="0"/>
              <w:spacing w:before="0" w:after="283"/>
              <w:jc w:val="left"/>
              <w:rPr/>
            </w:pPr>
            <w:r>
              <w:rPr/>
              <w:t> </w:t>
            </w:r>
            <w:bookmarkStart w:id="180" w:name="xdx_403_eus-gaap--StockIssuedDuringPerio"/>
            <w:bookmarkEnd w:id="180"/>
          </w:p>
        </w:tc>
      </w:tr>
      <w:tr>
        <w:trPr/>
        <w:tc>
          <w:tcPr>
            <w:tcW w:w="1840" w:type="dxa"/>
            <w:tcBorders/>
            <w:shd w:fill="CCEEFF" w:val="clear"/>
            <w:vAlign w:val="center"/>
          </w:tcPr>
          <w:p>
            <w:pPr>
              <w:pStyle w:val="TableContents"/>
              <w:bidi w:val="0"/>
              <w:spacing w:before="0" w:after="283"/>
              <w:jc w:val="left"/>
              <w:rPr/>
            </w:pPr>
            <w:r>
              <w:rPr/>
              <w:t>Conversion of exchangeable shares into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 w:name="xdx_98E_eus-gaap--StockIssuedDuringPerio"/>
            <w:bookmarkEnd w:id="181"/>
          </w:p>
        </w:tc>
        <w:tc>
          <w:tcPr>
            <w:tcW w:w="1100" w:type="dxa"/>
            <w:tcBorders/>
            <w:shd w:fill="CCEEFF" w:val="clear"/>
            <w:vAlign w:val="center"/>
          </w:tcPr>
          <w:p>
            <w:pPr>
              <w:pStyle w:val="TableContents"/>
              <w:bidi w:val="0"/>
              <w:spacing w:before="0" w:after="283"/>
              <w:jc w:val="right"/>
              <w:rPr/>
            </w:pPr>
            <w:r>
              <w:rPr/>
              <w:t>24,571,166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2" w:name="xdx_408_ecustom--StockIssuedDuringPeriod"/>
            <w:bookmarkEnd w:id="182"/>
          </w:p>
        </w:tc>
      </w:tr>
      <w:tr>
        <w:trPr/>
        <w:tc>
          <w:tcPr>
            <w:tcW w:w="1840" w:type="dxa"/>
            <w:tcBorders/>
            <w:shd w:fill="FFFFFF" w:val="clear"/>
            <w:vAlign w:val="center"/>
          </w:tcPr>
          <w:p>
            <w:pPr>
              <w:pStyle w:val="TableContents"/>
              <w:bidi w:val="0"/>
              <w:spacing w:before="0" w:after="283"/>
              <w:jc w:val="left"/>
              <w:rPr/>
            </w:pPr>
            <w:r>
              <w:rPr/>
              <w:t>Conversion of convertible debentures into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3" w:name="xdx_989_ecustom--StockIssuedDuringPeriod"/>
            <w:bookmarkEnd w:id="183"/>
          </w:p>
        </w:tc>
        <w:tc>
          <w:tcPr>
            <w:tcW w:w="1100" w:type="dxa"/>
            <w:tcBorders/>
            <w:shd w:fill="FFFFFF" w:val="clear"/>
            <w:vAlign w:val="center"/>
          </w:tcPr>
          <w:p>
            <w:pPr>
              <w:pStyle w:val="TableContents"/>
              <w:bidi w:val="0"/>
              <w:spacing w:before="0" w:after="283"/>
              <w:jc w:val="right"/>
              <w:rPr/>
            </w:pPr>
            <w:r>
              <w:rPr/>
              <w:t>3,750,000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15,760</w:t>
            </w:r>
          </w:p>
        </w:tc>
        <w:tc>
          <w:tcPr>
            <w:tcW w:w="110" w:type="dxa"/>
            <w:tcBorders/>
            <w:shd w:fill="FFFFFF" w:val="clear"/>
            <w:vAlign w:val="center"/>
          </w:tcPr>
          <w:p>
            <w:pPr>
              <w:pStyle w:val="TableContents"/>
              <w:bidi w:val="0"/>
              <w:spacing w:before="0" w:after="283"/>
              <w:jc w:val="left"/>
              <w:rPr/>
            </w:pPr>
            <w:r>
              <w:rPr/>
              <w:t> </w:t>
            </w:r>
            <w:bookmarkStart w:id="184" w:name="xdx_403_ecustom--IssuanceOfEquityToNonco"/>
            <w:bookmarkEnd w:id="184"/>
          </w:p>
        </w:tc>
      </w:tr>
      <w:tr>
        <w:trPr/>
        <w:tc>
          <w:tcPr>
            <w:tcW w:w="1840" w:type="dxa"/>
            <w:tcBorders/>
            <w:shd w:fill="CCEEFF" w:val="clear"/>
            <w:vAlign w:val="center"/>
          </w:tcPr>
          <w:p>
            <w:pPr>
              <w:pStyle w:val="TableContents"/>
              <w:bidi w:val="0"/>
              <w:spacing w:before="0" w:after="283"/>
              <w:jc w:val="left"/>
              <w:rPr/>
            </w:pPr>
            <w:r>
              <w:rPr/>
              <w:t>Issuance of equity to noncontrolling interest 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225</w:t>
            </w:r>
          </w:p>
        </w:tc>
        <w:tc>
          <w:tcPr>
            <w:tcW w:w="110" w:type="dxa"/>
            <w:tcBorders/>
            <w:shd w:fill="CCEEFF" w:val="clear"/>
            <w:vAlign w:val="center"/>
          </w:tcPr>
          <w:p>
            <w:pPr>
              <w:pStyle w:val="TableContents"/>
              <w:bidi w:val="0"/>
              <w:spacing w:before="0" w:after="283"/>
              <w:jc w:val="left"/>
              <w:rPr/>
            </w:pPr>
            <w:r>
              <w:rPr/>
              <w:t> </w:t>
            </w:r>
            <w:bookmarkStart w:id="185" w:name="xdx_407_eus-gaap--AdjustmentsToAdditiona"/>
            <w:bookmarkEnd w:id="185"/>
          </w:p>
        </w:tc>
      </w:tr>
      <w:tr>
        <w:trPr/>
        <w:tc>
          <w:tcPr>
            <w:tcW w:w="1840" w:type="dxa"/>
            <w:tcBorders/>
            <w:shd w:fill="FFFFFF" w:val="clear"/>
            <w:vAlign w:val="center"/>
          </w:tcPr>
          <w:p>
            <w:pPr>
              <w:pStyle w:val="TableContents"/>
              <w:bidi w:val="0"/>
              <w:spacing w:before="0" w:after="283"/>
              <w:jc w:val="left"/>
              <w:rPr/>
            </w:pPr>
            <w:r>
              <w:rPr/>
              <w:t>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bookmarkStart w:id="186" w:name="xdx_403_ecustom--OtherComprehensiveIncom"/>
            <w:bookmarkEnd w:id="186"/>
          </w:p>
        </w:tc>
      </w:tr>
      <w:tr>
        <w:trPr/>
        <w:tc>
          <w:tcPr>
            <w:tcW w:w="1840"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(1,916</w:t>
            </w:r>
          </w:p>
        </w:tc>
        <w:tc>
          <w:tcPr>
            <w:tcW w:w="110" w:type="dxa"/>
            <w:tcBorders/>
            <w:shd w:fill="CCEEFF" w:val="clear"/>
            <w:vAlign w:val="center"/>
          </w:tcPr>
          <w:p>
            <w:pPr>
              <w:pStyle w:val="TableContents"/>
              <w:bidi w:val="0"/>
              <w:spacing w:before="0" w:after="283"/>
              <w:jc w:val="left"/>
              <w:rPr/>
            </w:pPr>
            <w:r>
              <w:rPr/>
              <w:t>)</w:t>
            </w:r>
            <w:bookmarkStart w:id="187" w:name="xdx_407_eus-gaap--ProfitLoss_zFcvIBX9RaJ"/>
            <w:bookmarkEnd w:id="187"/>
          </w:p>
        </w:tc>
      </w:tr>
      <w:tr>
        <w:trPr/>
        <w:tc>
          <w:tcPr>
            <w:tcW w:w="18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(46,693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6"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(46,694</w:t>
            </w:r>
          </w:p>
        </w:tc>
        <w:tc>
          <w:tcPr>
            <w:tcW w:w="110" w:type="dxa"/>
            <w:tcBorders/>
            <w:shd w:fill="FFFFFF" w:val="clear"/>
            <w:vAlign w:val="center"/>
          </w:tcPr>
          <w:p>
            <w:pPr>
              <w:pStyle w:val="TableContents"/>
              <w:bidi w:val="0"/>
              <w:spacing w:before="0" w:after="283"/>
              <w:jc w:val="left"/>
              <w:rPr/>
            </w:pPr>
            <w:r>
              <w:rPr/>
              <w:t>)</w:t>
            </w:r>
            <w:bookmarkStart w:id="188" w:name="xdx_436_c20260101__20260331_eus-gaap--St"/>
            <w:bookmarkEnd w:id="188"/>
          </w:p>
        </w:tc>
      </w:tr>
      <w:tr>
        <w:trPr/>
        <w:tc>
          <w:tcPr>
            <w:tcW w:w="1840" w:type="dxa"/>
            <w:tcBorders/>
            <w:shd w:fill="CCEEFF" w:val="clear"/>
            <w:vAlign w:val="center"/>
          </w:tcPr>
          <w:p>
            <w:pPr>
              <w:pStyle w:val="TableContents"/>
              <w:bidi w:val="0"/>
              <w:spacing w:before="0" w:after="283"/>
              <w:jc w:val="left"/>
              <w:rPr>
                <w:b/>
              </w:rPr>
            </w:pP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9" w:name="xdx_98A_eus-gaap--SharesOutstanding_iE_p"/>
            <w:bookmarkEnd w:id="189"/>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97,721,696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924,802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(764,813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9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0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159,241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0"/>
        <w:gridCol w:w="60"/>
        <w:gridCol w:w="60"/>
        <w:gridCol w:w="1100"/>
        <w:gridCol w:w="60"/>
        <w:gridCol w:w="60"/>
        <w:gridCol w:w="243"/>
        <w:gridCol w:w="452"/>
        <w:gridCol w:w="60"/>
        <w:gridCol w:w="60"/>
        <w:gridCol w:w="140"/>
        <w:gridCol w:w="800"/>
        <w:gridCol w:w="95"/>
        <w:gridCol w:w="60"/>
        <w:gridCol w:w="155"/>
        <w:gridCol w:w="975"/>
        <w:gridCol w:w="95"/>
        <w:gridCol w:w="60"/>
        <w:gridCol w:w="337"/>
        <w:gridCol w:w="628"/>
        <w:gridCol w:w="60"/>
        <w:gridCol w:w="60"/>
        <w:gridCol w:w="140"/>
        <w:gridCol w:w="635"/>
        <w:gridCol w:w="110"/>
      </w:tblGrid>
      <w:tr>
        <w:trPr/>
        <w:tc>
          <w:tcPr>
            <w:tcW w:w="37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90" w:name="xdx_4B1_us-gaap--StatementEquityComponen"/>
            <w:bookmarkEnd w:id="190"/>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91" w:name="xdx_4B0_us-gaap--StatementEquityComponen"/>
            <w:bookmarkEnd w:id="191"/>
          </w:p>
        </w:tc>
        <w:tc>
          <w:tcPr>
            <w:tcW w:w="9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92" w:name="xdx_4B2_us-gaap--StatementEquityComponen"/>
            <w:bookmarkEnd w:id="192"/>
          </w:p>
        </w:tc>
        <w:tc>
          <w:tcPr>
            <w:tcW w:w="113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93" w:name="xdx_4BB_us-gaap--StatementEquityComponen"/>
            <w:bookmarkEnd w:id="193"/>
          </w:p>
        </w:tc>
        <w:tc>
          <w:tcPr>
            <w:tcW w:w="96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controlling</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94" w:name="xdx_4B3_zXsKFJl79zqb"/>
            <w:bookmarkEnd w:id="194"/>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10" w:type="dxa"/>
            <w:tcBorders/>
            <w:vAlign w:val="center"/>
          </w:tcPr>
          <w:p>
            <w:pPr>
              <w:pStyle w:val="TableContents"/>
              <w:bidi w:val="0"/>
              <w:spacing w:before="0" w:after="283"/>
              <w:jc w:val="left"/>
              <w:rPr>
                <w:caps w:val="false"/>
                <w:smallCaps w:val="false"/>
              </w:rPr>
            </w:pPr>
            <w:r>
              <w:rPr>
                <w:caps w:val="false"/>
                <w:smallCaps w:val="false"/>
              </w:rPr>
              <w:t> </w:t>
            </w:r>
            <w:bookmarkStart w:id="195" w:name="xdx_43E_c20250101__20250331_eus-gaap--St"/>
            <w:bookmarkEnd w:id="195"/>
          </w:p>
        </w:tc>
      </w:tr>
      <w:tr>
        <w:trPr/>
        <w:tc>
          <w:tcPr>
            <w:tcW w:w="370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6" w:name="xdx_98C_eus-gaap--SharesOutstanding_iS_p"/>
            <w:bookmarkEnd w:id="196"/>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17,239,096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253,784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(255,345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(1,527</w:t>
            </w:r>
          </w:p>
        </w:tc>
        <w:tc>
          <w:tcPr>
            <w:tcW w:w="110" w:type="dxa"/>
            <w:tcBorders/>
            <w:shd w:fill="CCEEFF" w:val="clear"/>
            <w:vAlign w:val="center"/>
          </w:tcPr>
          <w:p>
            <w:pPr>
              <w:pStyle w:val="TableContents"/>
              <w:bidi w:val="0"/>
              <w:spacing w:before="0" w:after="283"/>
              <w:jc w:val="left"/>
              <w:rPr>
                <w:b/>
              </w:rPr>
            </w:pPr>
            <w:r>
              <w:rPr>
                <w:b/>
              </w:rPr>
              <w:t>)</w:t>
            </w:r>
            <w:bookmarkStart w:id="197" w:name="xdx_439_c20250101__20250331_eus-gaap--St"/>
            <w:bookmarkEnd w:id="197"/>
          </w:p>
        </w:tc>
      </w:tr>
      <w:tr>
        <w:trPr/>
        <w:tc>
          <w:tcPr>
            <w:tcW w:w="370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8" w:name="xdx_988_eus-gaap--SharesOutstanding_iS_p"/>
            <w:bookmarkEnd w:id="198"/>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17,239,096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253,784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(255,345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(1,527</w:t>
            </w:r>
          </w:p>
        </w:tc>
        <w:tc>
          <w:tcPr>
            <w:tcW w:w="110" w:type="dxa"/>
            <w:tcBorders/>
            <w:shd w:fill="CCEEFF" w:val="clear"/>
            <w:vAlign w:val="center"/>
          </w:tcPr>
          <w:p>
            <w:pPr>
              <w:pStyle w:val="TableContents"/>
              <w:bidi w:val="0"/>
              <w:spacing w:before="0" w:after="283"/>
              <w:jc w:val="left"/>
              <w:rPr>
                <w:b/>
              </w:rPr>
            </w:pPr>
            <w:r>
              <w:rPr>
                <w:b/>
              </w:rPr>
              <w:t>)</w:t>
            </w:r>
            <w:bookmarkStart w:id="199" w:name="xdx_400_eus-gaap--StockIssuedDuringPerio"/>
            <w:bookmarkEnd w:id="199"/>
          </w:p>
        </w:tc>
      </w:tr>
      <w:tr>
        <w:trPr/>
        <w:tc>
          <w:tcPr>
            <w:tcW w:w="370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0" w:name="xdx_98C_eus-gaap--StockIssuedDuringPerio"/>
            <w:bookmarkEnd w:id="200"/>
          </w:p>
        </w:tc>
        <w:tc>
          <w:tcPr>
            <w:tcW w:w="1100" w:type="dxa"/>
            <w:tcBorders/>
            <w:shd w:fill="FFFFFF" w:val="clear"/>
            <w:vAlign w:val="center"/>
          </w:tcPr>
          <w:p>
            <w:pPr>
              <w:pStyle w:val="TableContents"/>
              <w:bidi w:val="0"/>
              <w:spacing w:before="0" w:after="283"/>
              <w:jc w:val="right"/>
              <w:rPr/>
            </w:pPr>
            <w:r>
              <w:rPr/>
              <w:t>1,663,543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2,074</w:t>
            </w:r>
          </w:p>
        </w:tc>
        <w:tc>
          <w:tcPr>
            <w:tcW w:w="110" w:type="dxa"/>
            <w:tcBorders/>
            <w:shd w:fill="FFFFFF" w:val="clear"/>
            <w:vAlign w:val="center"/>
          </w:tcPr>
          <w:p>
            <w:pPr>
              <w:pStyle w:val="TableContents"/>
              <w:bidi w:val="0"/>
              <w:spacing w:before="0" w:after="283"/>
              <w:jc w:val="left"/>
              <w:rPr/>
            </w:pPr>
            <w:r>
              <w:rPr/>
              <w:t> </w:t>
            </w:r>
            <w:bookmarkStart w:id="201" w:name="xdx_407_eus-gaap--StockIssuedDuringPerio"/>
            <w:bookmarkEnd w:id="201"/>
          </w:p>
        </w:tc>
      </w:tr>
      <w:tr>
        <w:trPr/>
        <w:tc>
          <w:tcPr>
            <w:tcW w:w="3700"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2" w:name="xdx_986_eus-gaap--StockIssuedDuringPerio"/>
            <w:bookmarkEnd w:id="202"/>
          </w:p>
        </w:tc>
        <w:tc>
          <w:tcPr>
            <w:tcW w:w="1100" w:type="dxa"/>
            <w:tcBorders/>
            <w:shd w:fill="CCEEFF" w:val="clear"/>
            <w:vAlign w:val="center"/>
          </w:tcPr>
          <w:p>
            <w:pPr>
              <w:pStyle w:val="TableContents"/>
              <w:bidi w:val="0"/>
              <w:spacing w:before="0" w:after="283"/>
              <w:jc w:val="right"/>
              <w:rPr/>
            </w:pPr>
            <w:r>
              <w:rPr/>
              <w:t>48,996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rFonts w:ascii="Times New Roman;Times;Serif" w:hAnsi="Times New Roman;Times;Serif"/>
                <w:sz w:val="18"/>
              </w:rPr>
              <w:t>-</w:t>
            </w:r>
            <w:r>
              <w:rPr/>
              <w:t> </w:t>
            </w:r>
            <w:bookmarkStart w:id="203" w:name="xdx_F25_zlf9SINY7x0d"/>
            <w:bookmarkEnd w:id="203"/>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4" w:name="xdx_402_eus-gaap--StockIssuedDuringPerio"/>
            <w:bookmarkEnd w:id="204"/>
          </w:p>
        </w:tc>
      </w:tr>
      <w:tr>
        <w:trPr/>
        <w:tc>
          <w:tcPr>
            <w:tcW w:w="3700" w:type="dxa"/>
            <w:tcBorders/>
            <w:shd w:fill="FFFFFF" w:val="clear"/>
            <w:vAlign w:val="center"/>
          </w:tcPr>
          <w:p>
            <w:pPr>
              <w:pStyle w:val="TableContents"/>
              <w:bidi w:val="0"/>
              <w:spacing w:before="0" w:after="283"/>
              <w:jc w:val="left"/>
              <w:rPr/>
            </w:pPr>
            <w:r>
              <w:rPr/>
              <w:t>Sale of common stock under at-the- market offering, net of transaction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5" w:name="xdx_986_eus-gaap--StockIssuedDuringPerio"/>
            <w:bookmarkEnd w:id="205"/>
          </w:p>
        </w:tc>
        <w:tc>
          <w:tcPr>
            <w:tcW w:w="1100" w:type="dxa"/>
            <w:tcBorders/>
            <w:shd w:fill="FFFFFF" w:val="clear"/>
            <w:vAlign w:val="center"/>
          </w:tcPr>
          <w:p>
            <w:pPr>
              <w:pStyle w:val="TableContents"/>
              <w:bidi w:val="0"/>
              <w:spacing w:before="0" w:after="283"/>
              <w:jc w:val="right"/>
              <w:rPr/>
            </w:pPr>
            <w:r>
              <w:rPr/>
              <w:t>4,403,166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3,882</w:t>
            </w:r>
          </w:p>
        </w:tc>
        <w:tc>
          <w:tcPr>
            <w:tcW w:w="110" w:type="dxa"/>
            <w:tcBorders/>
            <w:shd w:fill="FFFFFF" w:val="clear"/>
            <w:vAlign w:val="center"/>
          </w:tcPr>
          <w:p>
            <w:pPr>
              <w:pStyle w:val="TableContents"/>
              <w:bidi w:val="0"/>
              <w:spacing w:before="0" w:after="283"/>
              <w:jc w:val="left"/>
              <w:rPr/>
            </w:pPr>
            <w:r>
              <w:rPr/>
              <w:t> </w:t>
            </w:r>
            <w:bookmarkStart w:id="206" w:name="xdx_401_eus-gaap--StockIssuedDuringPerio"/>
            <w:bookmarkEnd w:id="206"/>
          </w:p>
        </w:tc>
      </w:tr>
      <w:tr>
        <w:trPr/>
        <w:tc>
          <w:tcPr>
            <w:tcW w:w="3700" w:type="dxa"/>
            <w:tcBorders/>
            <w:shd w:fill="CCEEFF" w:val="clear"/>
            <w:vAlign w:val="center"/>
          </w:tcPr>
          <w:p>
            <w:pPr>
              <w:pStyle w:val="TableContents"/>
              <w:bidi w:val="0"/>
              <w:spacing w:before="0" w:after="283"/>
              <w:jc w:val="left"/>
              <w:rPr/>
            </w:pPr>
            <w:r>
              <w:rPr/>
              <w:t>Sale of common stock and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7" w:name="xdx_98D_eus-gaap--StockIssuedDuringPerio"/>
            <w:bookmarkEnd w:id="207"/>
          </w:p>
        </w:tc>
        <w:tc>
          <w:tcPr>
            <w:tcW w:w="1100" w:type="dxa"/>
            <w:tcBorders/>
            <w:shd w:fill="CCEEFF" w:val="clear"/>
            <w:vAlign w:val="center"/>
          </w:tcPr>
          <w:p>
            <w:pPr>
              <w:pStyle w:val="TableContents"/>
              <w:bidi w:val="0"/>
              <w:spacing w:before="0" w:after="283"/>
              <w:jc w:val="right"/>
              <w:rPr/>
            </w:pPr>
            <w:r>
              <w:rPr/>
              <w:t>758,514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818</w:t>
            </w:r>
          </w:p>
        </w:tc>
        <w:tc>
          <w:tcPr>
            <w:tcW w:w="110" w:type="dxa"/>
            <w:tcBorders/>
            <w:shd w:fill="CCEEFF" w:val="clear"/>
            <w:vAlign w:val="center"/>
          </w:tcPr>
          <w:p>
            <w:pPr>
              <w:pStyle w:val="TableContents"/>
              <w:bidi w:val="0"/>
              <w:spacing w:before="0" w:after="283"/>
              <w:jc w:val="left"/>
              <w:rPr/>
            </w:pPr>
            <w:r>
              <w:rPr/>
              <w:t> </w:t>
            </w:r>
            <w:bookmarkStart w:id="208" w:name="xdx_408_ecustom--StockIssuedDuringPeriod"/>
            <w:bookmarkEnd w:id="208"/>
          </w:p>
        </w:tc>
      </w:tr>
      <w:tr>
        <w:trPr/>
        <w:tc>
          <w:tcPr>
            <w:tcW w:w="3700" w:type="dxa"/>
            <w:tcBorders/>
            <w:shd w:fill="FFFFFF" w:val="clear"/>
            <w:vAlign w:val="center"/>
          </w:tcPr>
          <w:p>
            <w:pPr>
              <w:pStyle w:val="TableContents"/>
              <w:bidi w:val="0"/>
              <w:spacing w:before="0" w:after="283"/>
              <w:jc w:val="left"/>
              <w:rPr/>
            </w:pPr>
            <w:r>
              <w:rPr/>
              <w:t>Common stock issued to settle 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9" w:name="xdx_989_ecustom--StockIssuedDuringPeriod"/>
            <w:bookmarkEnd w:id="209"/>
          </w:p>
        </w:tc>
        <w:tc>
          <w:tcPr>
            <w:tcW w:w="1100" w:type="dxa"/>
            <w:tcBorders/>
            <w:shd w:fill="FFFFFF" w:val="clear"/>
            <w:vAlign w:val="center"/>
          </w:tcPr>
          <w:p>
            <w:pPr>
              <w:pStyle w:val="TableContents"/>
              <w:bidi w:val="0"/>
              <w:spacing w:before="0" w:after="283"/>
              <w:jc w:val="right"/>
              <w:rPr/>
            </w:pPr>
            <w:r>
              <w:rPr/>
              <w:t>135,000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210" w:name="xdx_F2A_zD0ii0CIaUzh"/>
            <w:bookmarkEnd w:id="210"/>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bookmarkStart w:id="211" w:name="xdx_40B_eus-gaap--AdjustmentsToAdditiona"/>
            <w:bookmarkEnd w:id="211"/>
          </w:p>
        </w:tc>
      </w:tr>
      <w:tr>
        <w:trPr/>
        <w:tc>
          <w:tcPr>
            <w:tcW w:w="3700" w:type="dxa"/>
            <w:tcBorders/>
            <w:shd w:fill="CCEEFF" w:val="clear"/>
            <w:vAlign w:val="center"/>
          </w:tcPr>
          <w:p>
            <w:pPr>
              <w:pStyle w:val="TableContents"/>
              <w:bidi w:val="0"/>
              <w:spacing w:before="0" w:after="283"/>
              <w:jc w:val="left"/>
              <w:rPr/>
            </w:pPr>
            <w:r>
              <w:rPr/>
              <w:t>Preferred stock dividend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w:t>
            </w:r>
            <w:bookmarkStart w:id="212" w:name="xdx_40D_eus-gaap--ProfitLoss_z3o2m9M4wDN"/>
            <w:bookmarkEnd w:id="212"/>
          </w:p>
        </w:tc>
      </w:tr>
      <w:tr>
        <w:trPr/>
        <w:tc>
          <w:tcPr>
            <w:tcW w:w="3700"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(2,812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(2,800</w:t>
            </w:r>
          </w:p>
        </w:tc>
        <w:tc>
          <w:tcPr>
            <w:tcW w:w="110" w:type="dxa"/>
            <w:tcBorders/>
            <w:shd w:fill="FFFFFF" w:val="clear"/>
            <w:vAlign w:val="center"/>
          </w:tcPr>
          <w:p>
            <w:pPr>
              <w:pStyle w:val="TableContents"/>
              <w:bidi w:val="0"/>
              <w:spacing w:before="0" w:after="283"/>
              <w:jc w:val="left"/>
              <w:rPr/>
            </w:pPr>
            <w:r>
              <w:rPr/>
              <w:t>)</w:t>
            </w:r>
            <w:bookmarkStart w:id="213" w:name="xdx_438_c20250101__20250331_eus-gaap--St"/>
            <w:bookmarkEnd w:id="213"/>
          </w:p>
        </w:tc>
      </w:tr>
      <w:tr>
        <w:trPr/>
        <w:tc>
          <w:tcPr>
            <w:tcW w:w="370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4" w:name="xdx_980_eus-gaap--SharesOutstanding_iE_p"/>
            <w:bookmarkEnd w:id="214"/>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24,248,315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260,738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(258,157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2,634</w:t>
            </w:r>
          </w:p>
        </w:tc>
        <w:tc>
          <w:tcPr>
            <w:tcW w:w="110" w:type="dxa"/>
            <w:tcBorders/>
            <w:shd w:fill="CCEEFF" w:val="clear"/>
            <w:vAlign w:val="center"/>
          </w:tcPr>
          <w:p>
            <w:pPr>
              <w:pStyle w:val="TableContents"/>
              <w:bidi w:val="0"/>
              <w:spacing w:before="0" w:after="283"/>
              <w:jc w:val="left"/>
              <w:rPr/>
            </w:pPr>
            <w:r>
              <w:rPr/>
              <w:t> </w:t>
            </w:r>
            <w:bookmarkStart w:id="215" w:name="xdx_434_c20250101__20250331_eus-gaap--St"/>
            <w:bookmarkEnd w:id="215"/>
          </w:p>
        </w:tc>
      </w:tr>
      <w:tr>
        <w:trPr/>
        <w:tc>
          <w:tcPr>
            <w:tcW w:w="370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6" w:name="xdx_983_eus-gaap--SharesOutstanding_iE_p"/>
            <w:bookmarkEnd w:id="216"/>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24,248,315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45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260,738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(258,157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2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140"/>
        <w:gridCol w:w="23"/>
        <w:gridCol w:w="1100"/>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217" w:name="xdx_F04_zjPwbXLjFLD9"/>
            <w:bookmarkEnd w:id="217"/>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both"/>
              <w:rPr>
                <w:rFonts w:ascii="Times New Roman;Times;Serif" w:hAnsi="Times New Roman;Times;Serif"/>
                <w:sz w:val="20"/>
              </w:rPr>
            </w:pPr>
            <w:bookmarkStart w:id="218" w:name="xdx_F12_zsBKsConORwa"/>
            <w:bookmarkEnd w:id="218"/>
            <w:r>
              <w:rPr>
                <w:rFonts w:ascii="Times New Roman;Times;Serif" w:hAnsi="Times New Roman;Times;Serif"/>
                <w:sz w:val="20"/>
              </w:rPr>
              <w:t>- less than $1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9" w:name="a_006"/>
      <w:bookmarkEnd w:id="219"/>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0" w:name="xdx_300_112_pn3n3_zvQ3i34cV9Ue"/>
      <w:bookmarkStart w:id="221" w:name="xdx_300_112_pn3n3_zvQ3i34cV9Ue"/>
      <w:bookmarkEnd w:id="221"/>
    </w:p>
    <w:tbl>
      <w:tblPr>
        <w:tblW w:w="10205" w:type="dxa"/>
        <w:jc w:val="left"/>
        <w:tblInd w:w="0" w:type="dxa"/>
        <w:tblLayout w:type="fixed"/>
        <w:tblCellMar>
          <w:top w:w="0" w:type="dxa"/>
          <w:left w:w="0" w:type="dxa"/>
          <w:bottom w:w="0" w:type="dxa"/>
          <w:right w:w="0" w:type="dxa"/>
        </w:tblCellMar>
      </w:tblPr>
      <w:tblGrid>
        <w:gridCol w:w="8173"/>
        <w:gridCol w:w="60"/>
        <w:gridCol w:w="142"/>
        <w:gridCol w:w="770"/>
        <w:gridCol w:w="96"/>
        <w:gridCol w:w="60"/>
        <w:gridCol w:w="142"/>
        <w:gridCol w:w="647"/>
        <w:gridCol w:w="115"/>
      </w:tblGrid>
      <w:tr>
        <w:trPr/>
        <w:tc>
          <w:tcPr>
            <w:tcW w:w="81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2" w:name="xdx_49A_20260101__20260331_z17ZEr20jpf5"/>
            <w:bookmarkEnd w:id="222"/>
          </w:p>
        </w:tc>
        <w:tc>
          <w:tcPr>
            <w:tcW w:w="9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3" w:name="xdx_494_20250101__20250331_z5BqOoKTZb1j"/>
            <w:bookmarkEnd w:id="223"/>
          </w:p>
        </w:tc>
        <w:tc>
          <w:tcPr>
            <w:tcW w:w="7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81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March 31,</w:t>
            </w:r>
          </w:p>
        </w:tc>
        <w:tc>
          <w:tcPr>
            <w:tcW w:w="115" w:type="dxa"/>
            <w:tcBorders/>
            <w:vAlign w:val="center"/>
          </w:tcPr>
          <w:p>
            <w:pPr>
              <w:pStyle w:val="TableContents"/>
              <w:bidi w:val="0"/>
              <w:spacing w:before="0" w:after="283"/>
              <w:jc w:val="left"/>
              <w:rPr/>
            </w:pPr>
            <w:r>
              <w:rPr/>
              <w:t> </w:t>
            </w:r>
          </w:p>
        </w:tc>
      </w:tr>
      <w:tr>
        <w:trPr/>
        <w:tc>
          <w:tcPr>
            <w:tcW w:w="81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bookmarkStart w:id="224" w:name="xdx_405_eus-gaap--NetCashProvidedByUsedI"/>
            <w:bookmarkEnd w:id="224"/>
          </w:p>
        </w:tc>
      </w:tr>
      <w:tr>
        <w:trPr/>
        <w:tc>
          <w:tcPr>
            <w:tcW w:w="8173"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25" w:name="xdx_40D_eus-gaap--ProfitLoss_i01_maNCPBU"/>
            <w:bookmarkEnd w:id="225"/>
          </w:p>
        </w:tc>
      </w:tr>
      <w:tr>
        <w:trPr/>
        <w:tc>
          <w:tcPr>
            <w:tcW w:w="817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b/>
              </w:rPr>
            </w:pPr>
            <w:r>
              <w:rPr>
                <w:b/>
              </w:rPr>
              <w:t>$</w:t>
            </w:r>
          </w:p>
        </w:tc>
        <w:tc>
          <w:tcPr>
            <w:tcW w:w="770" w:type="dxa"/>
            <w:tcBorders/>
            <w:shd w:fill="FFFFFF" w:val="clear"/>
            <w:vAlign w:val="center"/>
          </w:tcPr>
          <w:p>
            <w:pPr>
              <w:pStyle w:val="TableContents"/>
              <w:bidi w:val="0"/>
              <w:spacing w:before="0" w:after="283"/>
              <w:jc w:val="right"/>
              <w:rPr>
                <w:b/>
              </w:rPr>
            </w:pPr>
            <w:r>
              <w:rPr>
                <w:b/>
              </w:rPr>
              <w:t>(46,694</w:t>
            </w:r>
          </w:p>
        </w:tc>
        <w:tc>
          <w:tcPr>
            <w:tcW w:w="96"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b/>
              </w:rPr>
            </w:pPr>
            <w:r>
              <w:rPr>
                <w:b/>
              </w:rPr>
              <w:t>$</w:t>
            </w:r>
          </w:p>
        </w:tc>
        <w:tc>
          <w:tcPr>
            <w:tcW w:w="647" w:type="dxa"/>
            <w:tcBorders/>
            <w:shd w:fill="FFFFFF" w:val="clear"/>
            <w:vAlign w:val="center"/>
          </w:tcPr>
          <w:p>
            <w:pPr>
              <w:pStyle w:val="TableContents"/>
              <w:bidi w:val="0"/>
              <w:spacing w:before="0" w:after="283"/>
              <w:jc w:val="right"/>
              <w:rPr>
                <w:b/>
              </w:rPr>
            </w:pPr>
            <w:r>
              <w:rPr>
                <w:b/>
              </w:rPr>
              <w:t>(2,800</w:t>
            </w:r>
          </w:p>
        </w:tc>
        <w:tc>
          <w:tcPr>
            <w:tcW w:w="115" w:type="dxa"/>
            <w:tcBorders/>
            <w:shd w:fill="FFFFFF" w:val="clear"/>
            <w:vAlign w:val="center"/>
          </w:tcPr>
          <w:p>
            <w:pPr>
              <w:pStyle w:val="TableContents"/>
              <w:bidi w:val="0"/>
              <w:spacing w:before="0" w:after="283"/>
              <w:jc w:val="left"/>
              <w:rPr>
                <w:b/>
              </w:rPr>
            </w:pPr>
            <w:r>
              <w:rPr>
                <w:b/>
              </w:rPr>
              <w:t>)</w:t>
            </w:r>
            <w:bookmarkStart w:id="226" w:name="xdx_40F_eus-gaap--AdjustmentsToReconcile"/>
            <w:bookmarkEnd w:id="226"/>
          </w:p>
        </w:tc>
      </w:tr>
      <w:tr>
        <w:trPr/>
        <w:tc>
          <w:tcPr>
            <w:tcW w:w="8173" w:type="dxa"/>
            <w:tcBorders/>
            <w:shd w:fill="CCEEFF" w:val="clear"/>
            <w:vAlign w:val="center"/>
          </w:tcPr>
          <w:p>
            <w:pPr>
              <w:pStyle w:val="TableContents"/>
              <w:bidi w:val="0"/>
              <w:spacing w:before="0" w:after="283"/>
              <w:jc w:val="left"/>
              <w:rPr/>
            </w:pPr>
            <w:r>
              <w:rPr/>
              <w:t>Adjustments to reconcile net loss to cash used in operating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27" w:name="xdx_402_eus-gaap--DepreciationAndAmortiz"/>
            <w:bookmarkEnd w:id="227"/>
          </w:p>
        </w:tc>
      </w:tr>
      <w:tr>
        <w:trPr/>
        <w:tc>
          <w:tcPr>
            <w:tcW w:w="8173"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1,492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21</w:t>
            </w:r>
          </w:p>
        </w:tc>
        <w:tc>
          <w:tcPr>
            <w:tcW w:w="115" w:type="dxa"/>
            <w:tcBorders/>
            <w:shd w:fill="FFFFFF" w:val="clear"/>
            <w:vAlign w:val="center"/>
          </w:tcPr>
          <w:p>
            <w:pPr>
              <w:pStyle w:val="TableContents"/>
              <w:bidi w:val="0"/>
              <w:spacing w:before="0" w:after="283"/>
              <w:jc w:val="left"/>
              <w:rPr/>
            </w:pPr>
            <w:r>
              <w:rPr/>
              <w:t> </w:t>
            </w:r>
            <w:bookmarkStart w:id="228" w:name="xdx_405_eus-gaap--AmortizationOfDebtDisc"/>
            <w:bookmarkEnd w:id="228"/>
          </w:p>
        </w:tc>
      </w:tr>
      <w:tr>
        <w:trPr/>
        <w:tc>
          <w:tcPr>
            <w:tcW w:w="8173" w:type="dxa"/>
            <w:tcBorders/>
            <w:shd w:fill="CCEEFF" w:val="clear"/>
            <w:vAlign w:val="center"/>
          </w:tcPr>
          <w:p>
            <w:pPr>
              <w:pStyle w:val="TableContents"/>
              <w:bidi w:val="0"/>
              <w:spacing w:before="0" w:after="283"/>
              <w:jc w:val="left"/>
              <w:rPr/>
            </w:pPr>
            <w:r>
              <w:rPr/>
              <w:t>Amortization of debt discount and issuance costs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11,979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29" w:name="xdx_407_ecustom--GainOnSettlementAndExti"/>
            <w:bookmarkEnd w:id="229"/>
          </w:p>
        </w:tc>
      </w:tr>
      <w:tr>
        <w:trPr/>
        <w:tc>
          <w:tcPr>
            <w:tcW w:w="8173" w:type="dxa"/>
            <w:tcBorders/>
            <w:shd w:fill="FFFFFF" w:val="clear"/>
            <w:vAlign w:val="center"/>
          </w:tcPr>
          <w:p>
            <w:pPr>
              <w:pStyle w:val="TableContents"/>
              <w:bidi w:val="0"/>
              <w:spacing w:before="0" w:after="283"/>
              <w:jc w:val="left"/>
              <w:rPr/>
            </w:pPr>
            <w:r>
              <w:rPr/>
              <w:t>Gain on settlement and extinguishment of 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199</w:t>
            </w:r>
          </w:p>
        </w:tc>
        <w:tc>
          <w:tcPr>
            <w:tcW w:w="115" w:type="dxa"/>
            <w:tcBorders/>
            <w:shd w:fill="FFFFFF" w:val="clear"/>
            <w:vAlign w:val="center"/>
          </w:tcPr>
          <w:p>
            <w:pPr>
              <w:pStyle w:val="TableContents"/>
              <w:bidi w:val="0"/>
              <w:spacing w:before="0" w:after="283"/>
              <w:jc w:val="left"/>
              <w:rPr/>
            </w:pPr>
            <w:r>
              <w:rPr/>
              <w:t> </w:t>
            </w:r>
            <w:bookmarkStart w:id="230" w:name="xdx_405_eus-gaap--OtherNoncashExpense_i0"/>
            <w:bookmarkEnd w:id="230"/>
          </w:p>
        </w:tc>
      </w:tr>
      <w:tr>
        <w:trPr/>
        <w:tc>
          <w:tcPr>
            <w:tcW w:w="8173" w:type="dxa"/>
            <w:tcBorders/>
            <w:shd w:fill="CCEEFF" w:val="clear"/>
            <w:vAlign w:val="center"/>
          </w:tcPr>
          <w:p>
            <w:pPr>
              <w:pStyle w:val="TableContents"/>
              <w:bidi w:val="0"/>
              <w:spacing w:before="0" w:after="283"/>
              <w:jc w:val="left"/>
              <w:rPr/>
            </w:pPr>
            <w:r>
              <w:rPr/>
              <w:t>Non-cash lease expense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41</w:t>
            </w:r>
          </w:p>
        </w:tc>
        <w:tc>
          <w:tcPr>
            <w:tcW w:w="115" w:type="dxa"/>
            <w:tcBorders/>
            <w:shd w:fill="CCEEFF" w:val="clear"/>
            <w:vAlign w:val="center"/>
          </w:tcPr>
          <w:p>
            <w:pPr>
              <w:pStyle w:val="TableContents"/>
              <w:bidi w:val="0"/>
              <w:spacing w:before="0" w:after="283"/>
              <w:jc w:val="left"/>
              <w:rPr/>
            </w:pPr>
            <w:r>
              <w:rPr/>
              <w:t> </w:t>
            </w:r>
            <w:bookmarkStart w:id="231" w:name="xdx_405_eus-gaap--DebtSecuritiesAvailabl"/>
            <w:bookmarkEnd w:id="231"/>
          </w:p>
        </w:tc>
      </w:tr>
      <w:tr>
        <w:trPr/>
        <w:tc>
          <w:tcPr>
            <w:tcW w:w="8173" w:type="dxa"/>
            <w:tcBorders/>
            <w:shd w:fill="FFFFFF" w:val="clear"/>
            <w:vAlign w:val="center"/>
          </w:tcPr>
          <w:p>
            <w:pPr>
              <w:pStyle w:val="TableContents"/>
              <w:bidi w:val="0"/>
              <w:spacing w:before="0" w:after="283"/>
              <w:jc w:val="left"/>
              <w:rPr/>
            </w:pPr>
            <w:r>
              <w:rPr/>
              <w:t>Realized gain on sale of gold</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(2,938</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32" w:name="xdx_407_ecustom--RealizedGainOnMarketabl"/>
            <w:bookmarkEnd w:id="232"/>
          </w:p>
        </w:tc>
      </w:tr>
      <w:tr>
        <w:trPr/>
        <w:tc>
          <w:tcPr>
            <w:tcW w:w="8173" w:type="dxa"/>
            <w:tcBorders/>
            <w:shd w:fill="CCEEFF" w:val="clear"/>
            <w:vAlign w:val="center"/>
          </w:tcPr>
          <w:p>
            <w:pPr>
              <w:pStyle w:val="TableContents"/>
              <w:bidi w:val="0"/>
              <w:spacing w:before="0" w:after="283"/>
              <w:jc w:val="left"/>
              <w:rPr/>
            </w:pPr>
            <w:r>
              <w:rPr/>
              <w:t>Realized gain on marketable securities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(484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33" w:name="xdx_40E_ecustom--ChangeInFairValueOfMark"/>
            <w:bookmarkEnd w:id="233"/>
          </w:p>
        </w:tc>
      </w:tr>
      <w:tr>
        <w:trPr/>
        <w:tc>
          <w:tcPr>
            <w:tcW w:w="8173" w:type="dxa"/>
            <w:tcBorders/>
            <w:shd w:fill="FFFFFF" w:val="clear"/>
            <w:vAlign w:val="center"/>
          </w:tcPr>
          <w:p>
            <w:pPr>
              <w:pStyle w:val="TableContents"/>
              <w:bidi w:val="0"/>
              <w:spacing w:before="0" w:after="283"/>
              <w:jc w:val="left"/>
              <w:rPr/>
            </w:pPr>
            <w:r>
              <w:rPr/>
              <w:t>Change in fair value of marketable securities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134</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34" w:name="xdx_403_ecustom--ChangeInFairValueOfEmbe"/>
            <w:bookmarkEnd w:id="234"/>
          </w:p>
        </w:tc>
      </w:tr>
      <w:tr>
        <w:trPr/>
        <w:tc>
          <w:tcPr>
            <w:tcW w:w="8173" w:type="dxa"/>
            <w:tcBorders/>
            <w:shd w:fill="CCEEFF" w:val="clear"/>
            <w:vAlign w:val="center"/>
          </w:tcPr>
          <w:p>
            <w:pPr>
              <w:pStyle w:val="TableContents"/>
              <w:bidi w:val="0"/>
              <w:spacing w:before="0" w:after="283"/>
              <w:jc w:val="left"/>
              <w:rPr/>
            </w:pPr>
            <w:r>
              <w:rPr/>
              <w:t>Change in fair value of embedded derivative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(497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35" w:name="xdx_40D_eus-gaap--GainsLossesOnExtinguis"/>
            <w:bookmarkEnd w:id="235"/>
          </w:p>
        </w:tc>
      </w:tr>
      <w:tr>
        <w:trPr/>
        <w:tc>
          <w:tcPr>
            <w:tcW w:w="8173" w:type="dxa"/>
            <w:tcBorders/>
            <w:shd w:fill="FFFFFF" w:val="clear"/>
            <w:vAlign w:val="center"/>
          </w:tcPr>
          <w:p>
            <w:pPr>
              <w:pStyle w:val="TableContents"/>
              <w:bidi w:val="0"/>
              <w:spacing w:before="0" w:after="283"/>
              <w:jc w:val="left"/>
              <w:rPr/>
            </w:pPr>
            <w:r>
              <w:rPr/>
              <w:t>Realized loss on extinguishment of convertible debentures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3,057</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36" w:name="xdx_401_eus-gaap--RealizedInvestmentGain"/>
            <w:bookmarkEnd w:id="236"/>
          </w:p>
        </w:tc>
      </w:tr>
      <w:tr>
        <w:trPr/>
        <w:tc>
          <w:tcPr>
            <w:tcW w:w="8173" w:type="dxa"/>
            <w:tcBorders/>
            <w:shd w:fill="CCEEFF" w:val="clear"/>
            <w:vAlign w:val="center"/>
          </w:tcPr>
          <w:p>
            <w:pPr>
              <w:pStyle w:val="TableContents"/>
              <w:bidi w:val="0"/>
              <w:spacing w:before="0" w:after="283"/>
              <w:jc w:val="left"/>
              <w:rPr/>
            </w:pPr>
            <w:r>
              <w:rPr/>
              <w:t>Realized loss on investment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119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37" w:name="xdx_40B_eus-gaap--AllocatedShareBasedCom"/>
            <w:bookmarkEnd w:id="237"/>
          </w:p>
        </w:tc>
      </w:tr>
      <w:tr>
        <w:trPr/>
        <w:tc>
          <w:tcPr>
            <w:tcW w:w="8173"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25,370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2,074</w:t>
            </w:r>
          </w:p>
        </w:tc>
        <w:tc>
          <w:tcPr>
            <w:tcW w:w="115" w:type="dxa"/>
            <w:tcBorders/>
            <w:shd w:fill="FFFFFF" w:val="clear"/>
            <w:vAlign w:val="center"/>
          </w:tcPr>
          <w:p>
            <w:pPr>
              <w:pStyle w:val="TableContents"/>
              <w:bidi w:val="0"/>
              <w:spacing w:before="0" w:after="283"/>
              <w:jc w:val="left"/>
              <w:rPr/>
            </w:pPr>
            <w:r>
              <w:rPr/>
              <w:t> </w:t>
            </w:r>
            <w:bookmarkStart w:id="238" w:name="xdx_400_eus-gaap--DeferredIncomeTaxExpen"/>
            <w:bookmarkEnd w:id="238"/>
          </w:p>
        </w:tc>
      </w:tr>
      <w:tr>
        <w:trPr/>
        <w:tc>
          <w:tcPr>
            <w:tcW w:w="8173"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(565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39" w:name="xdx_405_eus-gaap--IncreaseDecreaseInOper"/>
            <w:bookmarkEnd w:id="239"/>
          </w:p>
        </w:tc>
      </w:tr>
      <w:tr>
        <w:trPr/>
        <w:tc>
          <w:tcPr>
            <w:tcW w:w="8173"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40" w:name="xdx_40E_eus-gaap--IncreaseDecreaseInAcco"/>
            <w:bookmarkEnd w:id="240"/>
          </w:p>
        </w:tc>
      </w:tr>
      <w:tr>
        <w:trPr/>
        <w:tc>
          <w:tcPr>
            <w:tcW w:w="8173"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11</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41" w:name="xdx_405_eus-gaap--IncreaseDecreaseInLeas"/>
            <w:bookmarkEnd w:id="241"/>
          </w:p>
        </w:tc>
      </w:tr>
      <w:tr>
        <w:trPr/>
        <w:tc>
          <w:tcPr>
            <w:tcW w:w="8173" w:type="dxa"/>
            <w:tcBorders/>
            <w:shd w:fill="FFFFFF" w:val="clear"/>
            <w:vAlign w:val="center"/>
          </w:tcPr>
          <w:p>
            <w:pPr>
              <w:pStyle w:val="TableContents"/>
              <w:bidi w:val="0"/>
              <w:spacing w:before="0" w:after="283"/>
              <w:jc w:val="left"/>
              <w:rPr/>
            </w:pPr>
            <w:r>
              <w:rPr/>
              <w:t>Lease receivables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17</w:t>
            </w:r>
          </w:p>
        </w:tc>
        <w:tc>
          <w:tcPr>
            <w:tcW w:w="115" w:type="dxa"/>
            <w:tcBorders/>
            <w:shd w:fill="FFFFFF" w:val="clear"/>
            <w:vAlign w:val="center"/>
          </w:tcPr>
          <w:p>
            <w:pPr>
              <w:pStyle w:val="TableContents"/>
              <w:bidi w:val="0"/>
              <w:spacing w:before="0" w:after="283"/>
              <w:jc w:val="left"/>
              <w:rPr/>
            </w:pPr>
            <w:r>
              <w:rPr/>
              <w:t> </w:t>
            </w:r>
            <w:bookmarkStart w:id="242" w:name="xdx_40C_ecustom--IncreaseDecreaseInSales"/>
            <w:bookmarkEnd w:id="242"/>
          </w:p>
        </w:tc>
      </w:tr>
      <w:tr>
        <w:trPr/>
        <w:tc>
          <w:tcPr>
            <w:tcW w:w="8173" w:type="dxa"/>
            <w:tcBorders/>
            <w:shd w:fill="CCEEFF" w:val="clear"/>
            <w:vAlign w:val="center"/>
          </w:tcPr>
          <w:p>
            <w:pPr>
              <w:pStyle w:val="TableContents"/>
              <w:bidi w:val="0"/>
              <w:spacing w:before="0" w:after="283"/>
              <w:jc w:val="left"/>
              <w:rPr/>
            </w:pPr>
            <w:r>
              <w:rPr/>
              <w:t>Sales tax receivable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(9</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43" w:name="xdx_400_eus-gaap--IncreaseDecreaseInPrep"/>
            <w:bookmarkEnd w:id="243"/>
          </w:p>
        </w:tc>
      </w:tr>
      <w:tr>
        <w:trPr/>
        <w:tc>
          <w:tcPr>
            <w:tcW w:w="8173"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(1,934</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(70</w:t>
            </w:r>
          </w:p>
        </w:tc>
        <w:tc>
          <w:tcPr>
            <w:tcW w:w="115" w:type="dxa"/>
            <w:tcBorders/>
            <w:shd w:fill="FFFFFF" w:val="clear"/>
            <w:vAlign w:val="center"/>
          </w:tcPr>
          <w:p>
            <w:pPr>
              <w:pStyle w:val="TableContents"/>
              <w:bidi w:val="0"/>
              <w:spacing w:before="0" w:after="283"/>
              <w:jc w:val="left"/>
              <w:rPr/>
            </w:pPr>
            <w:r>
              <w:rPr/>
              <w:t>)</w:t>
            </w:r>
            <w:bookmarkStart w:id="244" w:name="xdx_407_eus-gaap--IncreaseDecreaseInAcco"/>
            <w:bookmarkEnd w:id="244"/>
          </w:p>
        </w:tc>
      </w:tr>
      <w:tr>
        <w:trPr/>
        <w:tc>
          <w:tcPr>
            <w:tcW w:w="8173"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780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(555</w:t>
            </w:r>
          </w:p>
        </w:tc>
        <w:tc>
          <w:tcPr>
            <w:tcW w:w="115" w:type="dxa"/>
            <w:tcBorders/>
            <w:shd w:fill="CCEEFF" w:val="clear"/>
            <w:vAlign w:val="center"/>
          </w:tcPr>
          <w:p>
            <w:pPr>
              <w:pStyle w:val="TableContents"/>
              <w:bidi w:val="0"/>
              <w:spacing w:before="0" w:after="283"/>
              <w:jc w:val="left"/>
              <w:rPr/>
            </w:pPr>
            <w:r>
              <w:rPr/>
              <w:t>)</w:t>
            </w:r>
            <w:bookmarkStart w:id="245" w:name="xdx_40A_eus-gaap--IncreaseDecreaseInOper"/>
            <w:bookmarkEnd w:id="245"/>
          </w:p>
        </w:tc>
      </w:tr>
      <w:tr>
        <w:trPr/>
        <w:tc>
          <w:tcPr>
            <w:tcW w:w="8173"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115" w:type="dxa"/>
            <w:tcBorders/>
            <w:shd w:fill="FFFFFF" w:val="clear"/>
            <w:vAlign w:val="center"/>
          </w:tcPr>
          <w:p>
            <w:pPr>
              <w:pStyle w:val="TableContents"/>
              <w:bidi w:val="0"/>
              <w:spacing w:before="0" w:after="283"/>
              <w:jc w:val="left"/>
              <w:rPr/>
            </w:pPr>
            <w:r>
              <w:rPr/>
              <w:t>)</w:t>
            </w:r>
            <w:bookmarkStart w:id="246" w:name="xdx_40A_eus-gaap--NetCashProvidedByUsedI"/>
            <w:bookmarkEnd w:id="246"/>
          </w:p>
        </w:tc>
      </w:tr>
      <w:tr>
        <w:trPr/>
        <w:tc>
          <w:tcPr>
            <w:tcW w:w="8173"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(10,179</w:t>
            </w:r>
          </w:p>
        </w:tc>
        <w:tc>
          <w:tcPr>
            <w:tcW w:w="9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(1,115</w:t>
            </w:r>
          </w:p>
        </w:tc>
        <w:tc>
          <w:tcPr>
            <w:tcW w:w="115" w:type="dxa"/>
            <w:tcBorders/>
            <w:shd w:fill="CCEEFF" w:val="clear"/>
            <w:vAlign w:val="center"/>
          </w:tcPr>
          <w:p>
            <w:pPr>
              <w:pStyle w:val="TableContents"/>
              <w:bidi w:val="0"/>
              <w:spacing w:before="0" w:after="283"/>
              <w:jc w:val="left"/>
              <w:rPr>
                <w:b/>
              </w:rPr>
            </w:pPr>
            <w:r>
              <w:rPr>
                <w:b/>
              </w:rPr>
              <w:t>)</w:t>
            </w:r>
          </w:p>
        </w:tc>
      </w:tr>
      <w:tr>
        <w:trPr/>
        <w:tc>
          <w:tcPr>
            <w:tcW w:w="8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47" w:name="xdx_401_eus-gaap--NetCashProvidedByUsedI"/>
            <w:bookmarkEnd w:id="247"/>
          </w:p>
        </w:tc>
      </w:tr>
      <w:tr>
        <w:trPr/>
        <w:tc>
          <w:tcPr>
            <w:tcW w:w="8173"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48" w:name="xdx_40D_eus-gaap--PaymentsToAcquireMarke"/>
            <w:bookmarkEnd w:id="248"/>
          </w:p>
        </w:tc>
      </w:tr>
      <w:tr>
        <w:trPr/>
        <w:tc>
          <w:tcPr>
            <w:tcW w:w="8173" w:type="dxa"/>
            <w:tcBorders/>
            <w:shd w:fill="FFFFFF" w:val="clear"/>
            <w:vAlign w:val="center"/>
          </w:tcPr>
          <w:p>
            <w:pPr>
              <w:pStyle w:val="TableContents"/>
              <w:bidi w:val="0"/>
              <w:spacing w:before="0" w:after="283"/>
              <w:jc w:val="left"/>
              <w:rPr/>
            </w:pPr>
            <w:r>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(23,900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49" w:name="xdx_408_eus-gaap--ProceedsFromSaleOfAvai"/>
            <w:bookmarkEnd w:id="249"/>
          </w:p>
        </w:tc>
      </w:tr>
      <w:tr>
        <w:trPr/>
        <w:tc>
          <w:tcPr>
            <w:tcW w:w="8173" w:type="dxa"/>
            <w:tcBorders/>
            <w:shd w:fill="CCEEFF" w:val="clear"/>
            <w:vAlign w:val="center"/>
          </w:tcPr>
          <w:p>
            <w:pPr>
              <w:pStyle w:val="TableContents"/>
              <w:bidi w:val="0"/>
              <w:spacing w:before="0" w:after="283"/>
              <w:jc w:val="left"/>
              <w:rPr/>
            </w:pPr>
            <w:r>
              <w:rPr/>
              <w:t>Proceeds from the sale of marketable securities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10,190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50" w:name="xdx_401_eus-gaap--ProceedsFromSaleOfEqui"/>
            <w:bookmarkEnd w:id="250"/>
          </w:p>
        </w:tc>
      </w:tr>
      <w:tr>
        <w:trPr/>
        <w:tc>
          <w:tcPr>
            <w:tcW w:w="8173" w:type="dxa"/>
            <w:tcBorders/>
            <w:shd w:fill="FFFFFF" w:val="clear"/>
            <w:vAlign w:val="center"/>
          </w:tcPr>
          <w:p>
            <w:pPr>
              <w:pStyle w:val="TableContents"/>
              <w:bidi w:val="0"/>
              <w:spacing w:before="0" w:after="283"/>
              <w:jc w:val="left"/>
              <w:rPr/>
            </w:pPr>
            <w:r>
              <w:rPr/>
              <w:t>Proceeds from the sale of non-marketable equity investments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25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51" w:name="xdx_407_ecustom--ProceedsFromSaleOfGold_"/>
            <w:bookmarkEnd w:id="251"/>
          </w:p>
        </w:tc>
      </w:tr>
      <w:tr>
        <w:trPr/>
        <w:tc>
          <w:tcPr>
            <w:tcW w:w="8173" w:type="dxa"/>
            <w:tcBorders/>
            <w:shd w:fill="CCEEFF" w:val="clear"/>
            <w:vAlign w:val="center"/>
          </w:tcPr>
          <w:p>
            <w:pPr>
              <w:pStyle w:val="TableContents"/>
              <w:bidi w:val="0"/>
              <w:spacing w:before="0" w:after="283"/>
              <w:jc w:val="left"/>
              <w:rPr/>
            </w:pPr>
            <w:r>
              <w:rPr/>
              <w:t>Proceeds from sale of gold</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26,410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52" w:name="xdx_402_eus-gaap--PaymentsToAcquireMinin"/>
            <w:bookmarkEnd w:id="252"/>
          </w:p>
        </w:tc>
      </w:tr>
      <w:tr>
        <w:trPr/>
        <w:tc>
          <w:tcPr>
            <w:tcW w:w="8173" w:type="dxa"/>
            <w:tcBorders/>
            <w:shd w:fill="FFFFFF" w:val="clear"/>
            <w:vAlign w:val="center"/>
          </w:tcPr>
          <w:p>
            <w:pPr>
              <w:pStyle w:val="TableContents"/>
              <w:bidi w:val="0"/>
              <w:spacing w:before="0" w:after="283"/>
              <w:jc w:val="left"/>
              <w:rPr/>
            </w:pPr>
            <w:r>
              <w:rPr/>
              <w:t>Purchase of gold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pPr>
            <w:r>
              <w:rPr/>
              <w:t>(14,225</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53" w:name="xdx_408_eus-gaap--NetCashProvidedByUsedI"/>
            <w:bookmarkEnd w:id="253"/>
          </w:p>
        </w:tc>
      </w:tr>
      <w:tr>
        <w:trPr/>
        <w:tc>
          <w:tcPr>
            <w:tcW w:w="8173" w:type="dxa"/>
            <w:tcBorders/>
            <w:shd w:fill="CCEEFF" w:val="clear"/>
            <w:vAlign w:val="center"/>
          </w:tcPr>
          <w:p>
            <w:pPr>
              <w:pStyle w:val="TableContents"/>
              <w:bidi w:val="0"/>
              <w:spacing w:before="0" w:after="283"/>
              <w:jc w:val="left"/>
              <w:rPr>
                <w:b/>
              </w:rPr>
            </w:pPr>
            <w:r>
              <w:rPr>
                <w:b/>
              </w:rPr>
              <w:t>Net cash used in investing activity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(1,500</w:t>
            </w:r>
          </w:p>
        </w:tc>
        <w:tc>
          <w:tcPr>
            <w:tcW w:w="9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5" w:type="dxa"/>
            <w:tcBorders/>
            <w:shd w:fill="CCEEFF" w:val="clear"/>
            <w:vAlign w:val="center"/>
          </w:tcPr>
          <w:p>
            <w:pPr>
              <w:pStyle w:val="TableContents"/>
              <w:bidi w:val="0"/>
              <w:spacing w:before="0" w:after="283"/>
              <w:jc w:val="left"/>
              <w:rPr/>
            </w:pPr>
            <w:r>
              <w:rPr/>
              <w:t> </w:t>
            </w:r>
          </w:p>
        </w:tc>
      </w:tr>
      <w:tr>
        <w:trPr/>
        <w:tc>
          <w:tcPr>
            <w:tcW w:w="8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54" w:name="xdx_407_eus-gaap--NetCashProvidedByUsedI"/>
            <w:bookmarkEnd w:id="254"/>
          </w:p>
        </w:tc>
      </w:tr>
      <w:tr>
        <w:trPr/>
        <w:tc>
          <w:tcPr>
            <w:tcW w:w="8173"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55" w:name="xdx_406_ecustom--ProceedsFromSaleOfCommo"/>
            <w:bookmarkEnd w:id="255"/>
          </w:p>
        </w:tc>
      </w:tr>
      <w:tr>
        <w:trPr/>
        <w:tc>
          <w:tcPr>
            <w:tcW w:w="8173" w:type="dxa"/>
            <w:tcBorders/>
            <w:shd w:fill="FFFFFF" w:val="clear"/>
            <w:vAlign w:val="center"/>
          </w:tcPr>
          <w:p>
            <w:pPr>
              <w:pStyle w:val="TableContents"/>
              <w:bidi w:val="0"/>
              <w:spacing w:before="0" w:after="283"/>
              <w:jc w:val="left"/>
              <w:rPr/>
            </w:pPr>
            <w:r>
              <w:rPr/>
              <w:t>Proceeds from sale of common stock under at-the-market offerings, net of issuance costs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3,882</w:t>
            </w:r>
          </w:p>
        </w:tc>
        <w:tc>
          <w:tcPr>
            <w:tcW w:w="115" w:type="dxa"/>
            <w:tcBorders/>
            <w:shd w:fill="FFFFFF" w:val="clear"/>
            <w:vAlign w:val="center"/>
          </w:tcPr>
          <w:p>
            <w:pPr>
              <w:pStyle w:val="TableContents"/>
              <w:bidi w:val="0"/>
              <w:spacing w:before="0" w:after="283"/>
              <w:jc w:val="left"/>
              <w:rPr/>
            </w:pPr>
            <w:r>
              <w:rPr/>
              <w:t> </w:t>
            </w:r>
            <w:bookmarkStart w:id="256" w:name="xdx_402_eus-gaap--ProceedsFromIssuanceOf"/>
            <w:bookmarkEnd w:id="256"/>
          </w:p>
        </w:tc>
      </w:tr>
      <w:tr>
        <w:trPr/>
        <w:tc>
          <w:tcPr>
            <w:tcW w:w="8173" w:type="dxa"/>
            <w:tcBorders/>
            <w:shd w:fill="CCEEFF" w:val="clear"/>
            <w:vAlign w:val="center"/>
          </w:tcPr>
          <w:p>
            <w:pPr>
              <w:pStyle w:val="TableContents"/>
              <w:bidi w:val="0"/>
              <w:spacing w:before="0" w:after="283"/>
              <w:jc w:val="left"/>
              <w:rPr/>
            </w:pPr>
            <w:r>
              <w:rPr/>
              <w:t>Proceeds from sale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818</w:t>
            </w:r>
          </w:p>
        </w:tc>
        <w:tc>
          <w:tcPr>
            <w:tcW w:w="115" w:type="dxa"/>
            <w:tcBorders/>
            <w:shd w:fill="CCEEFF" w:val="clear"/>
            <w:vAlign w:val="center"/>
          </w:tcPr>
          <w:p>
            <w:pPr>
              <w:pStyle w:val="TableContents"/>
              <w:bidi w:val="0"/>
              <w:spacing w:before="0" w:after="283"/>
              <w:jc w:val="left"/>
              <w:rPr/>
            </w:pPr>
            <w:r>
              <w:rPr/>
              <w:t> </w:t>
            </w:r>
            <w:bookmarkStart w:id="257" w:name="xdx_40C_ecustom--RepaymentOfFinanceOblig"/>
            <w:bookmarkEnd w:id="257"/>
          </w:p>
        </w:tc>
      </w:tr>
      <w:tr>
        <w:trPr/>
        <w:tc>
          <w:tcPr>
            <w:tcW w:w="8173" w:type="dxa"/>
            <w:tcBorders/>
            <w:shd w:fill="FFFFFF" w:val="clear"/>
            <w:vAlign w:val="center"/>
          </w:tcPr>
          <w:p>
            <w:pPr>
              <w:pStyle w:val="TableContents"/>
              <w:bidi w:val="0"/>
              <w:spacing w:before="0" w:after="283"/>
              <w:jc w:val="left"/>
              <w:rPr/>
            </w:pPr>
            <w:r>
              <w:rPr/>
              <w:t>Repayment of finance obligation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(546</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58" w:name="xdx_40E_eus-gaap--ProceedsFromIssuanceIn"/>
            <w:bookmarkEnd w:id="258"/>
          </w:p>
        </w:tc>
      </w:tr>
      <w:tr>
        <w:trPr/>
        <w:tc>
          <w:tcPr>
            <w:tcW w:w="8173" w:type="dxa"/>
            <w:tcBorders/>
            <w:shd w:fill="CCEEFF" w:val="clear"/>
            <w:vAlign w:val="center"/>
          </w:tcPr>
          <w:p>
            <w:pPr>
              <w:pStyle w:val="TableContents"/>
              <w:bidi w:val="0"/>
              <w:spacing w:before="0" w:after="283"/>
              <w:jc w:val="left"/>
              <w:rPr/>
            </w:pPr>
            <w:r>
              <w:rPr/>
              <w:t>Net proceeds from issuance of common stock in underwritten public offering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37,184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59" w:name="xdx_40A_ecustom--ProceedsFromIssuanceOfS"/>
            <w:bookmarkEnd w:id="259"/>
          </w:p>
        </w:tc>
      </w:tr>
      <w:tr>
        <w:trPr/>
        <w:tc>
          <w:tcPr>
            <w:tcW w:w="8173" w:type="dxa"/>
            <w:tcBorders/>
            <w:shd w:fill="FFFFFF" w:val="clear"/>
            <w:vAlign w:val="center"/>
          </w:tcPr>
          <w:p>
            <w:pPr>
              <w:pStyle w:val="TableContents"/>
              <w:bidi w:val="0"/>
              <w:spacing w:before="0" w:after="283"/>
              <w:jc w:val="left"/>
              <w:rPr/>
            </w:pPr>
            <w:r>
              <w:rPr/>
              <w:t>Proceeds from issuance of equity in subsidiary to non-controlling interest holders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225</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60" w:name="xdx_407_ecustom--RepaymentOfConvertibleD"/>
            <w:bookmarkEnd w:id="260"/>
          </w:p>
        </w:tc>
      </w:tr>
      <w:tr>
        <w:trPr/>
        <w:tc>
          <w:tcPr>
            <w:tcW w:w="8173" w:type="dxa"/>
            <w:tcBorders/>
            <w:shd w:fill="CCEEFF" w:val="clear"/>
            <w:vAlign w:val="center"/>
          </w:tcPr>
          <w:p>
            <w:pPr>
              <w:pStyle w:val="TableContents"/>
              <w:bidi w:val="0"/>
              <w:spacing w:before="0" w:after="283"/>
              <w:jc w:val="left"/>
              <w:rPr/>
            </w:pPr>
            <w:r>
              <w:rPr/>
              <w:t>Repayment of convertible debentures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pPr>
            <w:r>
              <w:rPr/>
              <w:t>(38,500</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61" w:name="xdx_40E_eus-gaap--NetCashProvidedByUsedI"/>
            <w:bookmarkEnd w:id="261"/>
          </w:p>
        </w:tc>
      </w:tr>
      <w:tr>
        <w:trPr/>
        <w:tc>
          <w:tcPr>
            <w:tcW w:w="8173" w:type="dxa"/>
            <w:tcBorders/>
            <w:shd w:fill="FFFFFF" w:val="clear"/>
            <w:vAlign w:val="center"/>
          </w:tcPr>
          <w:p>
            <w:pPr>
              <w:pStyle w:val="TableContents"/>
              <w:bidi w:val="0"/>
              <w:spacing w:before="0" w:after="283"/>
              <w:jc w:val="left"/>
              <w:rPr>
                <w:b/>
              </w:rPr>
            </w:pPr>
            <w:r>
              <w:rPr>
                <w:b/>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(1,637</w:t>
            </w:r>
          </w:p>
        </w:tc>
        <w:tc>
          <w:tcPr>
            <w:tcW w:w="96"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4,700</w:t>
            </w:r>
          </w:p>
        </w:tc>
        <w:tc>
          <w:tcPr>
            <w:tcW w:w="115" w:type="dxa"/>
            <w:tcBorders/>
            <w:shd w:fill="FFFFFF" w:val="clear"/>
            <w:vAlign w:val="center"/>
          </w:tcPr>
          <w:p>
            <w:pPr>
              <w:pStyle w:val="TableContents"/>
              <w:bidi w:val="0"/>
              <w:spacing w:before="0" w:after="283"/>
              <w:jc w:val="left"/>
              <w:rPr/>
            </w:pPr>
            <w:r>
              <w:rPr/>
              <w:t> </w:t>
            </w:r>
          </w:p>
        </w:tc>
      </w:tr>
      <w:tr>
        <w:trPr/>
        <w:tc>
          <w:tcPr>
            <w:tcW w:w="81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62" w:name="xdx_40B_eus-gaap--EffectOfExchangeRateOn"/>
            <w:bookmarkEnd w:id="262"/>
          </w:p>
        </w:tc>
      </w:tr>
      <w:tr>
        <w:trPr/>
        <w:tc>
          <w:tcPr>
            <w:tcW w:w="8173" w:type="dxa"/>
            <w:tcBorders/>
            <w:shd w:fill="FFFFFF" w:val="clear"/>
            <w:vAlign w:val="center"/>
          </w:tcPr>
          <w:p>
            <w:pPr>
              <w:pStyle w:val="TableContents"/>
              <w:bidi w:val="0"/>
              <w:spacing w:before="0" w:after="283"/>
              <w:jc w:val="left"/>
              <w:rPr/>
            </w:pPr>
            <w:r>
              <w:rPr/>
              <w:t>Effect of exchange rate change on cash</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(141</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63" w:name="xdx_40B_eus-gaap--CashCashEquivalentsRes"/>
            <w:bookmarkEnd w:id="263"/>
          </w:p>
        </w:tc>
      </w:tr>
      <w:tr>
        <w:trPr/>
        <w:tc>
          <w:tcPr>
            <w:tcW w:w="8173" w:type="dxa"/>
            <w:tcBorders/>
            <w:shd w:fill="CCEEFF" w:val="clear"/>
            <w:vAlign w:val="center"/>
          </w:tcPr>
          <w:p>
            <w:pPr>
              <w:pStyle w:val="TableContents"/>
              <w:bidi w:val="0"/>
              <w:spacing w:before="0" w:after="283"/>
              <w:jc w:val="left"/>
              <w:rPr>
                <w:b/>
              </w:rPr>
            </w:pPr>
            <w:r>
              <w:rPr>
                <w:b/>
              </w:rPr>
              <w:t>Net (decrease) increase in cash</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(13,457</w:t>
            </w:r>
          </w:p>
        </w:tc>
        <w:tc>
          <w:tcPr>
            <w:tcW w:w="96"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3,585</w:t>
            </w:r>
          </w:p>
        </w:tc>
        <w:tc>
          <w:tcPr>
            <w:tcW w:w="115" w:type="dxa"/>
            <w:tcBorders/>
            <w:shd w:fill="CCEEFF" w:val="clear"/>
            <w:vAlign w:val="center"/>
          </w:tcPr>
          <w:p>
            <w:pPr>
              <w:pStyle w:val="TableContents"/>
              <w:bidi w:val="0"/>
              <w:spacing w:before="0" w:after="283"/>
              <w:jc w:val="left"/>
              <w:rPr/>
            </w:pPr>
            <w:r>
              <w:rPr/>
              <w:t> </w:t>
            </w:r>
            <w:bookmarkStart w:id="264" w:name="xdx_40F_eus-gaap--CashCashEquivalentsRes"/>
            <w:bookmarkEnd w:id="264"/>
          </w:p>
        </w:tc>
      </w:tr>
      <w:tr>
        <w:trPr/>
        <w:tc>
          <w:tcPr>
            <w:tcW w:w="8173" w:type="dxa"/>
            <w:tcBorders/>
            <w:shd w:fill="FFFFFF" w:val="clear"/>
            <w:vAlign w:val="center"/>
          </w:tcPr>
          <w:p>
            <w:pPr>
              <w:pStyle w:val="TableContents"/>
              <w:bidi w:val="0"/>
              <w:spacing w:before="0" w:after="283"/>
              <w:jc w:val="left"/>
              <w:rPr/>
            </w:pPr>
            <w:r>
              <w:rPr/>
              <w:t>Cash, beginning of the period</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pPr>
            <w:r>
              <w:rPr/>
              <w:t>20,316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8" w:space="0" w:color="000000"/>
            </w:tcBorders>
            <w:shd w:fill="FFFFFF" w:val="clear"/>
            <w:tcMar>
              <w:bottom w:w="28" w:type="dxa"/>
            </w:tcMar>
            <w:vAlign w:val="center"/>
          </w:tcPr>
          <w:p>
            <w:pPr>
              <w:pStyle w:val="TableContents"/>
              <w:bidi w:val="0"/>
              <w:spacing w:before="0" w:after="283"/>
              <w:jc w:val="right"/>
              <w:rPr/>
            </w:pPr>
            <w:r>
              <w:rPr/>
              <w:t>142</w:t>
            </w:r>
          </w:p>
        </w:tc>
        <w:tc>
          <w:tcPr>
            <w:tcW w:w="115" w:type="dxa"/>
            <w:tcBorders/>
            <w:shd w:fill="FFFFFF" w:val="clear"/>
            <w:vAlign w:val="center"/>
          </w:tcPr>
          <w:p>
            <w:pPr>
              <w:pStyle w:val="TableContents"/>
              <w:bidi w:val="0"/>
              <w:spacing w:before="0" w:after="283"/>
              <w:jc w:val="left"/>
              <w:rPr/>
            </w:pPr>
            <w:r>
              <w:rPr/>
              <w:t> </w:t>
            </w:r>
            <w:bookmarkStart w:id="265" w:name="xdx_400_eus-gaap--CashCashEquivalentsRes"/>
            <w:bookmarkEnd w:id="265"/>
          </w:p>
        </w:tc>
      </w:tr>
      <w:tr>
        <w:trPr/>
        <w:tc>
          <w:tcPr>
            <w:tcW w:w="8173" w:type="dxa"/>
            <w:tcBorders/>
            <w:shd w:fill="CCEEFF" w:val="clear"/>
            <w:vAlign w:val="center"/>
          </w:tcPr>
          <w:p>
            <w:pPr>
              <w:pStyle w:val="TableContents"/>
              <w:bidi w:val="0"/>
              <w:spacing w:before="0" w:after="283"/>
              <w:jc w:val="left"/>
              <w:rPr>
                <w:b/>
              </w:rPr>
            </w:pPr>
            <w:r>
              <w:rPr>
                <w:b/>
              </w:rPr>
              <w:t>Cash, end of the period</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6,859</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3,727</w:t>
            </w:r>
          </w:p>
        </w:tc>
        <w:tc>
          <w:tcPr>
            <w:tcW w:w="115" w:type="dxa"/>
            <w:tcBorders/>
            <w:shd w:fill="CCEEFF" w:val="clear"/>
            <w:vAlign w:val="center"/>
          </w:tcPr>
          <w:p>
            <w:pPr>
              <w:pStyle w:val="TableContents"/>
              <w:bidi w:val="0"/>
              <w:spacing w:before="0" w:after="283"/>
              <w:jc w:val="left"/>
              <w:rPr/>
            </w:pPr>
            <w:r>
              <w:rPr/>
              <w:t> </w:t>
            </w:r>
          </w:p>
        </w:tc>
      </w:tr>
      <w:tr>
        <w:trPr/>
        <w:tc>
          <w:tcPr>
            <w:tcW w:w="8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66" w:name="xdx_404_eus-gaap--SupplementalCashFlowIn"/>
            <w:bookmarkEnd w:id="266"/>
          </w:p>
        </w:tc>
      </w:tr>
      <w:tr>
        <w:trPr/>
        <w:tc>
          <w:tcPr>
            <w:tcW w:w="8173"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67" w:name="xdx_403_eus-gaap--InterestPaidNet_i01_zR"/>
            <w:bookmarkEnd w:id="267"/>
          </w:p>
        </w:tc>
      </w:tr>
      <w:tr>
        <w:trPr/>
        <w:tc>
          <w:tcPr>
            <w:tcW w:w="8173" w:type="dxa"/>
            <w:tcBorders/>
            <w:shd w:fill="FFFFFF" w:val="clear"/>
            <w:vAlign w:val="center"/>
          </w:tcPr>
          <w:p>
            <w:pPr>
              <w:pStyle w:val="TableContents"/>
              <w:bidi w:val="0"/>
              <w:spacing w:before="0" w:after="283"/>
              <w:jc w:val="left"/>
              <w:rPr/>
            </w:pPr>
            <w:r>
              <w:rPr/>
              <w:t>Cash paid during the period for interest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pPr>
            <w:r>
              <w:rPr/>
              <w:t>403</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68" w:name="xdx_40B_eus-gaap--IncomeTaxesPaidNet_i01"/>
            <w:bookmarkEnd w:id="268"/>
          </w:p>
        </w:tc>
      </w:tr>
      <w:tr>
        <w:trPr/>
        <w:tc>
          <w:tcPr>
            <w:tcW w:w="8173" w:type="dxa"/>
            <w:tcBorders/>
            <w:shd w:fill="CCEEFF" w:val="clear"/>
            <w:vAlign w:val="center"/>
          </w:tcPr>
          <w:p>
            <w:pPr>
              <w:pStyle w:val="TableContents"/>
              <w:bidi w:val="0"/>
              <w:spacing w:before="0" w:after="283"/>
              <w:jc w:val="left"/>
              <w:rPr/>
            </w:pPr>
            <w:r>
              <w:rPr/>
              <w:t>Cash paid during the period for income taxes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8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69" w:name="xdx_401_eus-gaap--NoncashInvestingAndFin"/>
            <w:bookmarkEnd w:id="269"/>
          </w:p>
        </w:tc>
      </w:tr>
      <w:tr>
        <w:trPr/>
        <w:tc>
          <w:tcPr>
            <w:tcW w:w="8173" w:type="dxa"/>
            <w:tcBorders/>
            <w:shd w:fill="CCEEFF" w:val="clear"/>
            <w:vAlign w:val="center"/>
          </w:tcPr>
          <w:p>
            <w:pPr>
              <w:pStyle w:val="TableContents"/>
              <w:bidi w:val="0"/>
              <w:spacing w:before="0" w:after="283"/>
              <w:jc w:val="left"/>
              <w:rPr>
                <w:b/>
              </w:rPr>
            </w:pPr>
            <w:r>
              <w:rPr>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70" w:name="xdx_40E_ecustom--CommonStockIssuedInSett"/>
            <w:bookmarkEnd w:id="270"/>
          </w:p>
        </w:tc>
      </w:tr>
      <w:tr>
        <w:trPr/>
        <w:tc>
          <w:tcPr>
            <w:tcW w:w="8173" w:type="dxa"/>
            <w:tcBorders/>
            <w:shd w:fill="FFFFFF" w:val="clear"/>
            <w:vAlign w:val="center"/>
          </w:tcPr>
          <w:p>
            <w:pPr>
              <w:pStyle w:val="TableContents"/>
              <w:bidi w:val="0"/>
              <w:spacing w:before="0" w:after="283"/>
              <w:jc w:val="left"/>
              <w:rPr/>
            </w:pPr>
            <w:r>
              <w:rPr/>
              <w:t>Common stock issued in settlement of 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jc w:val="right"/>
              <w:rPr/>
            </w:pPr>
            <w:r>
              <w:rPr/>
              <w:t>189</w:t>
            </w:r>
          </w:p>
        </w:tc>
        <w:tc>
          <w:tcPr>
            <w:tcW w:w="115" w:type="dxa"/>
            <w:tcBorders/>
            <w:shd w:fill="FFFFFF" w:val="clear"/>
            <w:vAlign w:val="center"/>
          </w:tcPr>
          <w:p>
            <w:pPr>
              <w:pStyle w:val="TableContents"/>
              <w:bidi w:val="0"/>
              <w:spacing w:before="0" w:after="283"/>
              <w:jc w:val="left"/>
              <w:rPr/>
            </w:pPr>
            <w:r>
              <w:rPr/>
              <w:t> </w:t>
            </w:r>
            <w:bookmarkStart w:id="271" w:name="xdx_408_ecustom--DividendPayableOnPrefer"/>
            <w:bookmarkEnd w:id="271"/>
          </w:p>
        </w:tc>
      </w:tr>
      <w:tr>
        <w:trPr/>
        <w:tc>
          <w:tcPr>
            <w:tcW w:w="8173" w:type="dxa"/>
            <w:tcBorders/>
            <w:shd w:fill="CCEEFF" w:val="clear"/>
            <w:vAlign w:val="center"/>
          </w:tcPr>
          <w:p>
            <w:pPr>
              <w:pStyle w:val="TableContents"/>
              <w:bidi w:val="0"/>
              <w:spacing w:before="0" w:after="283"/>
              <w:jc w:val="left"/>
              <w:rPr/>
            </w:pPr>
            <w:r>
              <w:rPr/>
              <w:t>Dividend payable on preferred stock charged to additional paid-in-capital</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115" w:type="dxa"/>
            <w:tcBorders/>
            <w:shd w:fill="CCEEFF" w:val="clear"/>
            <w:vAlign w:val="center"/>
          </w:tcPr>
          <w:p>
            <w:pPr>
              <w:pStyle w:val="TableContents"/>
              <w:bidi w:val="0"/>
              <w:spacing w:before="0" w:after="283"/>
              <w:jc w:val="left"/>
              <w:rPr/>
            </w:pPr>
            <w:r>
              <w:rPr/>
              <w:t> </w:t>
            </w:r>
            <w:bookmarkStart w:id="272" w:name="xdx_404_ecustom--ConversionOfConvertible"/>
            <w:bookmarkEnd w:id="272"/>
          </w:p>
        </w:tc>
      </w:tr>
      <w:tr>
        <w:trPr/>
        <w:tc>
          <w:tcPr>
            <w:tcW w:w="8173" w:type="dxa"/>
            <w:tcBorders/>
            <w:shd w:fill="FFFFFF" w:val="clear"/>
            <w:vAlign w:val="center"/>
          </w:tcPr>
          <w:p>
            <w:pPr>
              <w:pStyle w:val="TableContents"/>
              <w:bidi w:val="0"/>
              <w:spacing w:before="0" w:after="283"/>
              <w:jc w:val="left"/>
              <w:rPr/>
            </w:pPr>
            <w:r>
              <w:rPr/>
              <w:t>Conversion of convertible debentures into common stock</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pPr>
            <w:r>
              <w:rPr/>
              <w:t>15,760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3" w:name="a_007"/>
      <w:bookmarkEnd w:id="273"/>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2026 </w:t>
      </w:r>
      <w:r>
        <w:rPr>
          <w:rFonts w:ascii="Times New Roman;Times;Serif" w:hAnsi="Times New Roman;Times;Serif"/>
          <w:b/>
          <w:i/>
          <w:caps w:val="false"/>
          <w:smallCaps w:val="false"/>
          <w:sz w:val="20"/>
        </w:rPr>
        <w:t>(</w:t>
      </w:r>
      <w:r>
        <w:rPr>
          <w:rFonts w:ascii="Times New Roman;Times;Serif" w:hAnsi="Times New Roman;Times;Serif"/>
          <w:b/>
          <w:i w:val="false"/>
          <w:caps w:val="false"/>
          <w:smallCaps w:val="false"/>
          <w:sz w:val="20"/>
        </w:rPr>
        <w:t>Unaudited</w:t>
      </w:r>
      <w:r>
        <w:rPr>
          <w:rFonts w:ascii="Times New Roman;Times;Serif" w:hAnsi="Times New Roman;Times;Serif"/>
          <w:b/>
          <w:i/>
          <w:caps w:val="false"/>
          <w:smallCaps w:val="false"/>
          <w:sz w:val="20"/>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par value and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4" w:name="xdx_802_eus-gaap--OrganizationConsolidat"/>
      <w:bookmarkEnd w:id="274"/>
      <w:r>
        <w:rPr>
          <w:rFonts w:ascii="Times New Roman;Times;Serif" w:hAnsi="Times New Roman;Times;Serif"/>
          <w:b/>
          <w:i w:val="false"/>
          <w:caps w:val="false"/>
          <w:smallCaps w:val="false"/>
          <w:sz w:val="20"/>
        </w:rPr>
        <w:t>NOTE 1</w:t>
      </w:r>
      <w:r>
        <w:rPr>
          <w:rFonts w:ascii="Times New Roman;Times;Serif" w:hAnsi="Times New Roman;Times;Serif"/>
          <w:b w:val="false"/>
          <w:i w:val="false"/>
          <w:caps w:val="false"/>
          <w:smallCaps w:val="false"/>
          <w:sz w:val="20"/>
        </w:rPr>
        <w:t xml:space="preserve"> – </w:t>
      </w:r>
      <w:bookmarkStart w:id="275" w:name="xdx_821_z7jxDBqQFjKe"/>
      <w:bookmarkEnd w:id="275"/>
      <w:r>
        <w:rPr>
          <w:rFonts w:ascii="Times New Roman;Times;Serif" w:hAnsi="Times New Roman;Times;Serif"/>
          <w:b/>
          <w:i w:val="false"/>
          <w:caps w:val="false"/>
          <w:smallCaps w:val="false"/>
          <w:sz w:val="20"/>
        </w:rPr>
        <w:t>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Corp. (the “Company”, “we”, “us” and “our”) is a technology company with two principal lines of business: (i) digital infrastructure focused on the tokenization and exchange of real-world assets and other commodity-linked financial products and (ii) biomedical technology focused on advanced signal acquisition and processing solutions in electrophysiology through our PURE EP™ platform. On May 28, 2025, the Company acquired Streamex Exchange Corporation (“Streamex Exchange”), a software development company based in Vancouver, British Columbia. In connection with this strategic expansion, on September 12, 2025, the Company changed its corporate name from BioSig Technologies, Inc. to Streamex Corp., and effective September 12, 2025, the Company’s common stock began trading on The Nasdaq Capital Market under the ticker symbol “STEX” (formerly “BSGM”).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the Company completed the acquisition of Streamex Exchange pursuant to that certain Share Purchase Agreement dated as of May 23, 2025 (as amended on May 27, 2025, the “Share Purchase Agreement”) by and among the Company, BST Sub ULC, an unlimited liability company organized under the laws of the Province of British Columbia and a wholly owned subsidiary of the Company (“ExchangeCo”), 1540875 B.C. Ltd., a British Columbia company and a wholly owned subsidiary of the Company (“Callco”), the shareholders of Streamex Exchange, and 1540873 B.C. Ltd., as trustee (the “Trustee”) under the exchange rights agreement entered into among the Company, ExchangeCo, Callco, and the Trustee (the “Exchange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continues to evaluate opportunities for its subsidiaries ViralClear Pharmaceuticals, Inc. (“ViralClear”) and BioSig AI Sciences, Inc. (“BioSig AI”). As of March 31, 2026 and December 31, 2025, the Company held a majority interest of approximately </w:t>
      </w:r>
      <w:bookmarkStart w:id="276" w:name="xdx_90B_eus-gaap--EquityMethodInvestment"/>
      <w:bookmarkEnd w:id="276"/>
      <w:r>
        <w:rPr>
          <w:rFonts w:ascii="Times New Roman;Times;Serif" w:hAnsi="Times New Roman;Times;Serif"/>
          <w:b w:val="false"/>
          <w:i w:val="false"/>
          <w:caps w:val="false"/>
          <w:smallCaps w:val="false"/>
          <w:sz w:val="20"/>
        </w:rPr>
        <w:t xml:space="preserve">70% in ViralClear. As of March 31, 2026, and December 31, 2025, the Company held a majority interest of approximately </w:t>
      </w:r>
      <w:bookmarkStart w:id="277" w:name="xdx_903_eus-gaap--EquityMethodInvestment"/>
      <w:bookmarkEnd w:id="277"/>
      <w:r>
        <w:rPr>
          <w:rFonts w:ascii="Times New Roman;Times;Serif" w:hAnsi="Times New Roman;Times;Serif"/>
          <w:b w:val="false"/>
          <w:i w:val="false"/>
          <w:caps w:val="false"/>
          <w:smallCaps w:val="false"/>
          <w:sz w:val="20"/>
        </w:rPr>
        <w:t>84% in BioSig AI.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through Streamex Ltd., a Cayman Islands special-purpose entity consolidated as a variable interest entity, acquired approximately $</w:t>
      </w:r>
      <w:bookmarkStart w:id="278" w:name="xdx_906_eus-gaap--OtherAssetsNoncurrent_"/>
      <w:bookmarkEnd w:id="278"/>
      <w:r>
        <w:rPr>
          <w:rFonts w:ascii="Times New Roman;Times;Serif" w:hAnsi="Times New Roman;Times;Serif"/>
          <w:b w:val="false"/>
          <w:i w:val="false"/>
          <w:caps w:val="false"/>
          <w:smallCaps w:val="false"/>
          <w:sz w:val="20"/>
        </w:rPr>
        <w:t xml:space="preserve">15,225 of gold bullion to support the GLDY Token program. As of March 31, 2026, the Company held approximately </w:t>
      </w:r>
      <w:bookmarkStart w:id="279" w:name="xdx_903_eus-gaap--BusinessAcquisitionPer"/>
      <w:bookmarkEnd w:id="279"/>
      <w:r>
        <w:rPr>
          <w:rFonts w:ascii="Times New Roman;Times;Serif" w:hAnsi="Times New Roman;Times;Serif"/>
          <w:b w:val="false"/>
          <w:i w:val="false"/>
          <w:caps w:val="false"/>
          <w:smallCaps w:val="false"/>
          <w:sz w:val="20"/>
        </w:rPr>
        <w:t>98.5% of outstanding GLDY Tokens. Two related party officers of the Company subscribed for an aggregate of approximately $</w:t>
      </w:r>
      <w:bookmarkStart w:id="280" w:name="xdx_906_eus-gaap--BusinessCombinationAcq"/>
      <w:bookmarkEnd w:id="280"/>
      <w:r>
        <w:rPr>
          <w:rFonts w:ascii="Times New Roman;Times;Serif" w:hAnsi="Times New Roman;Times;Serif"/>
          <w:b w:val="false"/>
          <w:i w:val="false"/>
          <w:caps w:val="false"/>
          <w:smallCaps w:val="false"/>
          <w:sz w:val="20"/>
        </w:rPr>
        <w:t>225 of GLDY Tokens during March 2026. The Company also formed GLDY ServiceCo, LLC, a wholly owned subsidiary that acts as servicer to Streamex Ltd. under a servicing arrangement.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1" w:name="xdx_802_eus-gaap--SubstantialDoubtAboutG"/>
      <w:bookmarkEnd w:id="281"/>
      <w:r>
        <w:rPr>
          <w:rFonts w:ascii="Times New Roman;Times;Serif" w:hAnsi="Times New Roman;Times;Serif"/>
          <w:b/>
          <w:i w:val="false"/>
          <w:caps w:val="false"/>
          <w:smallCaps w:val="false"/>
          <w:sz w:val="20"/>
        </w:rPr>
        <w:t>NOTE 2</w:t>
      </w:r>
      <w:r>
        <w:rPr>
          <w:rFonts w:ascii="Times New Roman;Times;Serif" w:hAnsi="Times New Roman;Times;Serif"/>
          <w:b w:val="false"/>
          <w:i w:val="false"/>
          <w:caps w:val="false"/>
          <w:smallCaps w:val="false"/>
          <w:sz w:val="20"/>
        </w:rPr>
        <w:t xml:space="preserve"> – </w:t>
      </w:r>
      <w:bookmarkStart w:id="282" w:name="xdx_829_zknPEvqxXSh2"/>
      <w:bookmarkEnd w:id="282"/>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working capital of approximately $</w:t>
      </w:r>
      <w:bookmarkStart w:id="283" w:name="xdx_90E_ecustom--WorkingCaptalDeficit_iI"/>
      <w:bookmarkEnd w:id="283"/>
      <w:r>
        <w:rPr>
          <w:rFonts w:ascii="Times New Roman;Times;Serif" w:hAnsi="Times New Roman;Times;Serif"/>
          <w:b w:val="false"/>
          <w:i w:val="false"/>
          <w:caps w:val="false"/>
          <w:smallCaps w:val="false"/>
          <w:sz w:val="20"/>
        </w:rPr>
        <w:t>42,602 and cash of $</w:t>
      </w:r>
      <w:bookmarkStart w:id="284" w:name="xdx_904_eus-gaap--CashAndCashEquivalents"/>
      <w:bookmarkEnd w:id="284"/>
      <w:r>
        <w:rPr>
          <w:rFonts w:ascii="Times New Roman;Times;Serif" w:hAnsi="Times New Roman;Times;Serif"/>
          <w:b w:val="false"/>
          <w:i w:val="false"/>
          <w:caps w:val="false"/>
          <w:smallCaps w:val="false"/>
          <w:sz w:val="20"/>
        </w:rPr>
        <w:t>6,859. For the three months ended March 31, 2026, we used $</w:t>
      </w:r>
      <w:bookmarkStart w:id="285" w:name="xdx_90D_eus-gaap--NetCashProvidedByUsedI"/>
      <w:bookmarkEnd w:id="285"/>
      <w:r>
        <w:rPr>
          <w:rFonts w:ascii="Times New Roman;Times;Serif" w:hAnsi="Times New Roman;Times;Serif"/>
          <w:b w:val="false"/>
          <w:i w:val="false"/>
          <w:caps w:val="false"/>
          <w:smallCaps w:val="false"/>
          <w:sz w:val="20"/>
        </w:rPr>
        <w:t>10,179 in operating activities, used $</w:t>
      </w:r>
      <w:bookmarkStart w:id="286" w:name="xdx_901_eus-gaap--NetCashProvidedByUsedI"/>
      <w:bookmarkEnd w:id="286"/>
      <w:r>
        <w:rPr>
          <w:rFonts w:ascii="Times New Roman;Times;Serif" w:hAnsi="Times New Roman;Times;Serif"/>
          <w:b w:val="false"/>
          <w:i w:val="false"/>
          <w:caps w:val="false"/>
          <w:smallCaps w:val="false"/>
          <w:sz w:val="20"/>
        </w:rPr>
        <w:t>1,500 in investing activities, and used $</w:t>
      </w:r>
      <w:bookmarkStart w:id="287" w:name="xdx_903_eus-gaap--NetCashProvidedByUsedI"/>
      <w:bookmarkEnd w:id="287"/>
      <w:r>
        <w:rPr>
          <w:rFonts w:ascii="Times New Roman;Times;Serif" w:hAnsi="Times New Roman;Times;Serif"/>
          <w:b w:val="false"/>
          <w:i w:val="false"/>
          <w:caps w:val="false"/>
          <w:smallCaps w:val="false"/>
          <w:sz w:val="20"/>
        </w:rPr>
        <w:t>1,637 in financing activities, primarily reflecting the repayment of the remaining outstanding balance on the secured convertible debentures of approximately $</w:t>
      </w:r>
      <w:bookmarkStart w:id="288" w:name="xdx_904_eus-gaap--SecuredDebt_iI_pn5n6_c"/>
      <w:bookmarkEnd w:id="288"/>
      <w:r>
        <w:rPr>
          <w:rFonts w:ascii="Times New Roman;Times;Serif" w:hAnsi="Times New Roman;Times;Serif"/>
          <w:b w:val="false"/>
          <w:i w:val="false"/>
          <w:caps w:val="false"/>
          <w:smallCaps w:val="false"/>
          <w:sz w:val="20"/>
        </w:rPr>
        <w:t>38.5 million, substantially offset by net proceeds of approximately $</w:t>
      </w:r>
      <w:bookmarkStart w:id="289" w:name="xdx_90E_eus-gaap--ProceedsFromIssuanceIn"/>
      <w:bookmarkEnd w:id="289"/>
      <w:r>
        <w:rPr>
          <w:rFonts w:ascii="Times New Roman;Times;Serif" w:hAnsi="Times New Roman;Times;Serif"/>
          <w:b w:val="false"/>
          <w:i w:val="false"/>
          <w:caps w:val="false"/>
          <w:smallCaps w:val="false"/>
          <w:sz w:val="20"/>
        </w:rPr>
        <w:t>37.2 million from an underwritten public offering completed in January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strengthened its liquidity position through financing transactions and asset monetization activities and eliminated its outstanding convertible debt. In January 2026, the Company completed an underwritten public offering generating net proceeds of approximately $</w:t>
      </w:r>
      <w:bookmarkStart w:id="290" w:name="xdx_904_eus-gaap--ProceedsFromIssuanceIn"/>
      <w:bookmarkEnd w:id="290"/>
      <w:r>
        <w:rPr>
          <w:rFonts w:ascii="Times New Roman;Times;Serif" w:hAnsi="Times New Roman;Times;Serif"/>
          <w:b w:val="false"/>
          <w:i w:val="false"/>
          <w:caps w:val="false"/>
          <w:smallCaps w:val="false"/>
          <w:sz w:val="20"/>
        </w:rPr>
        <w:t>37.2 million. The Company also received approximately $</w:t>
      </w:r>
      <w:bookmarkStart w:id="291" w:name="xdx_906_eus-gaap--ProceedsFromSaleAndMat"/>
      <w:bookmarkEnd w:id="291"/>
      <w:r>
        <w:rPr>
          <w:rFonts w:ascii="Times New Roman;Times;Serif" w:hAnsi="Times New Roman;Times;Serif"/>
          <w:b w:val="false"/>
          <w:i w:val="false"/>
          <w:caps w:val="false"/>
          <w:smallCaps w:val="false"/>
          <w:sz w:val="20"/>
        </w:rPr>
        <w:t>10.1 million from the sale of marketable securities and approximately $</w:t>
      </w:r>
      <w:bookmarkStart w:id="292" w:name="xdx_90A_eus-gaap--SaleOfTrustAssetsToPay"/>
      <w:bookmarkEnd w:id="292"/>
      <w:r>
        <w:rPr>
          <w:rFonts w:ascii="Times New Roman;Times;Serif" w:hAnsi="Times New Roman;Times;Serif"/>
          <w:b w:val="false"/>
          <w:i w:val="false"/>
          <w:caps w:val="false"/>
          <w:smallCaps w:val="false"/>
          <w:sz w:val="20"/>
        </w:rPr>
        <w:t>26.4 million from the sale of gold bullion that had been classified as held for sale as of December 31, 2025. In February 2026, following a partial conversion of the secured convertible debentures into common stock, the Company repaid the remaining outstanding balance for an aggregate cash payment of approximately $</w:t>
      </w:r>
      <w:bookmarkStart w:id="293" w:name="xdx_90D_eus-gaap--DebtInstrumentPeriodic"/>
      <w:bookmarkEnd w:id="293"/>
      <w:r>
        <w:rPr>
          <w:rFonts w:ascii="Times New Roman;Times;Serif" w:hAnsi="Times New Roman;Times;Serif"/>
          <w:b w:val="false"/>
          <w:i w:val="false"/>
          <w:caps w:val="false"/>
          <w:smallCaps w:val="false"/>
          <w:sz w:val="20"/>
        </w:rPr>
        <w:t>38.5 million, and all related security interests were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incurring operating losses and negative cash flows until our products, including the Streamex Exchange’s digital asset infrastructure and PURE EP™ Platform initiatives, achieve sustained commercial success. Although the PURE EP™ Platform is commercially available, revenues to date have not been material, and the timing and extent of future revenues remain uncertain. The Company launched GLDY and began accepting subscriptions; however, revenues to date have not been material. We expect to incur additional costs related to software development, regulatory compliance, and strategic partnerships prior to the commencement of any material revenue-generating activities. The timing and extent of any future revenues will depend on, among other things, continued investor adoption of GLDY, completion of development milestones, regulatory considerations, market conditions, and the successful commercialization of the Streamex Exchange platform and related offerings.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existing cash and working capital position, management believes that the Company has the ability to continue as a going concern for at least one year from the issuance date of the unaudited condensed consolidated financial statements included in this Quarterly Report on Form 10-Q. The Company believes it will have sufficient liquidity to meet its anticipated working capital requirements, capital expenditures, and other liquidity needs during that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4" w:name="xdx_804_eus-gaap--SignificantAccountingP"/>
      <w:bookmarkEnd w:id="294"/>
      <w:r>
        <w:rPr>
          <w:rFonts w:ascii="Times New Roman;Times;Serif" w:hAnsi="Times New Roman;Times;Serif"/>
          <w:b/>
          <w:i w:val="false"/>
          <w:caps w:val="false"/>
          <w:smallCaps w:val="false"/>
          <w:sz w:val="20"/>
        </w:rPr>
        <w:t>NOTE 3</w:t>
      </w:r>
      <w:r>
        <w:rPr>
          <w:rFonts w:ascii="Times New Roman;Times;Serif" w:hAnsi="Times New Roman;Times;Serif"/>
          <w:b w:val="false"/>
          <w:i w:val="false"/>
          <w:caps w:val="false"/>
          <w:smallCaps w:val="false"/>
          <w:sz w:val="20"/>
        </w:rPr>
        <w:t xml:space="preserve"> – </w:t>
      </w:r>
      <w:bookmarkStart w:id="295" w:name="xdx_82F_zHGsdBmeo7e1"/>
      <w:bookmarkEnd w:id="295"/>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96" w:name="xdx_86B_zjXMtgu8kdh5"/>
      <w:bookmarkStart w:id="297" w:name="xdx_846_eus-gaap--BasisOfAccountingPolic"/>
      <w:bookmarkEnd w:id="296"/>
      <w:bookmarkEnd w:id="297"/>
      <w:r>
        <w:rPr>
          <w:rFonts w:ascii="Times New Roman;Times;Serif" w:hAnsi="Times New Roman;Times;Serif"/>
          <w:b w:val="false"/>
          <w:i/>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have been prepared in accordance with accounting principles generally accepted in the United States of America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298" w:name="xdx_860_zYbifoSFY8Mj"/>
      <w:bookmarkStart w:id="299" w:name="xdx_84B_eus-gaap--ConsolidationPolicyTex"/>
      <w:bookmarkEnd w:id="298"/>
      <w:bookmarkEnd w:id="299"/>
      <w:r>
        <w:rPr>
          <w:rFonts w:ascii="Times New Roman;Times;Serif" w:hAnsi="Times New Roman;Times;Serif"/>
          <w:b w:val="false"/>
          <w:i/>
          <w:caps w:val="false"/>
          <w:smallCaps w:val="false"/>
          <w:sz w:val="20"/>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Streamex Corp. and its consolidated subsidiaries, including variable interest entities (“VIEs”) for which the Company is determined to be the primary beneficiary. All intercompany accounts and transactions have been eliminated in consolidation. Noncontrolling interests represent the portion of equity interests in consolidated subsidiaries not attributable to the Company and are reported as a separate component of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determined that it became the primary beneficiary of Streamex Ltd., a Cayman Islands exempted company, under the VIE model in ASC 810, Consolidation. The Company became the primary beneficiary upon the formation and initial capitalization of Streamex Ltd. in February 2026, at which time the Company obtained the power to direct the activities of Streamex Ltd. that most significantly impact its economic performance and the obligation to absorb losses or the right to receive benefits that could potentially be significant. Accordingly, Streamex Ltd. has been consolidated from the date the Company became the primary beneficiary. See Note 9, Streamex Ltd. (VIE),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00" w:name="xdx_863_zgjMnvS7mVF3"/>
      <w:bookmarkStart w:id="301" w:name="xdx_84C_eus-gaap--UseOfEstimates_zFl2S6d"/>
      <w:bookmarkEnd w:id="300"/>
      <w:bookmarkEnd w:id="301"/>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unaudited condensed consolidated financial statements in conformity with GAAP requires us to make estimates and assumptions that affect the amounts reported and disclosed in the financial statements and the accompanying notes. Changes in circumstances could cause actual results to differ materially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02" w:name="xdx_864_zaePqsPAja6a"/>
      <w:bookmarkStart w:id="303" w:name="xdx_84D_eus-gaap--ForeignCurrencyTransac"/>
      <w:bookmarkEnd w:id="302"/>
      <w:bookmarkEnd w:id="303"/>
      <w:r>
        <w:rPr>
          <w:rFonts w:ascii="Times New Roman;Times;Serif" w:hAnsi="Times New Roman;Times;Serif"/>
          <w:b w:val="false"/>
          <w:i/>
          <w:caps w:val="false"/>
          <w:smallCaps w:val="false"/>
          <w:sz w:val="20"/>
        </w:rPr>
        <w:t>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Company’s Canadian subsidiary, ExchangeCo, is the Canadian dollar. Assets and liabilities denominated in Canadian dollars are translated into U.S. dollars at the exchange rate in effect at the balance sheet date, while revenues and expenses are translated at the average exchange rate for the period. Resulting translation adjustments are recorded in accumulated other comprehensive income (loss) as a separate component of stockholders’ equity.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04" w:name="xdx_869_z4WSNHTGDpod"/>
      <w:bookmarkStart w:id="305" w:name="xdx_84C_eus-gaap--MarketableSecuritiesPo"/>
      <w:bookmarkEnd w:id="304"/>
      <w:bookmarkEnd w:id="305"/>
      <w:r>
        <w:rPr>
          <w:rFonts w:ascii="Times New Roman;Times;Serif" w:hAnsi="Times New Roman;Times;Serif"/>
          <w:b w:val="false"/>
          <w:i/>
          <w:caps w:val="false"/>
          <w:smallCaps w:val="false"/>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securities consist of equity securities measured at fair value with changes in fair value recognized in earnings, in accordance with ASC 321, Investments — Equity Securities. Fair value is determined using quoted market prices in active markets (Level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06" w:name="xdx_865_zEqXSkF6ibVe"/>
      <w:bookmarkStart w:id="307" w:name="xdx_849_ecustom--GoldAssetsPolicyTextBlo"/>
      <w:bookmarkEnd w:id="306"/>
      <w:bookmarkEnd w:id="307"/>
      <w:r>
        <w:rPr>
          <w:rFonts w:ascii="Times New Roman;Times;Serif" w:hAnsi="Times New Roman;Times;Serif"/>
          <w:b w:val="false"/>
          <w:i/>
          <w:caps w:val="false"/>
          <w:smallCaps w:val="false"/>
          <w:sz w:val="20"/>
        </w:rPr>
        <w:t>Gold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through its consolidated variable interest entity Streamex Ltd., holds physical gold bullion. Gold purchased for the purpose of backing GLDY Token obligations is recorded at cost, which includes the purchase price and directly attributable transaction costs, and is classified as “Other assets held at cost – gold” within non-current assets on the unaudited condensed consolidated balance sheet. The Company classifies the gold as a non-current asset because the gold is acquired and held to support the long-term GLDY Token program and related leasing activities, and management does not expect to liquidate the gold within the next twelve months. The gold is accounted for as a long-lived tangible asset within the scope of ASC 360. Cost is determined on a specific identification basis. Ongoing storage, insurance, and administrative custody costs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the gold for impairment under ASC 360-10-35 when events or changes in circumstances indicate that the carrying amount may not be recoverable. Such events may include, among other factors, a significant decline in market prices, adverse changes in legal, regulatory, or custodial conditions, or other factors affecting the Company’s ability to access or realize economic benefits from the asset. The Company considers both market-based and asset-specific factors in assessing whether an impairment indicator exists. Once classified as held for sale, the gold is carried at the lower of carrying amount or fair value less cost to sell, with any write-downs recognized in earnings and subsequent increases recognized only to the extent of previously recognized losses. No impairment charges were recorded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that has been committed for sale or that management has committed to a plan of sale is reclassified to “Other assets held for sale” and measured at the lower of carrying amount or fair value less costs to sell in accordance with ASC 360.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08" w:name="xdx_86E_zy4gIs6OcYpc"/>
      <w:bookmarkStart w:id="309" w:name="xdx_843_ecustom--ConcentrationOfAssetsPo"/>
      <w:bookmarkEnd w:id="308"/>
      <w:bookmarkEnd w:id="309"/>
      <w:r>
        <w:rPr>
          <w:rFonts w:ascii="Times New Roman;Times;Serif" w:hAnsi="Times New Roman;Times;Serif"/>
          <w:b w:val="false"/>
          <w:i/>
          <w:caps w:val="false"/>
          <w:smallCaps w:val="false"/>
          <w:sz w:val="20"/>
        </w:rPr>
        <w:t>Concentration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consolidated assets totaled $</w:t>
      </w:r>
      <w:bookmarkStart w:id="310" w:name="xdx_90D_eus-gaap--Assets_iI_pn3n3_c20260"/>
      <w:bookmarkEnd w:id="310"/>
      <w:r>
        <w:rPr>
          <w:rFonts w:ascii="Times New Roman;Times;Serif" w:hAnsi="Times New Roman;Times;Serif"/>
          <w:b w:val="false"/>
          <w:i w:val="false"/>
          <w:caps w:val="false"/>
          <w:smallCaps w:val="false"/>
          <w:sz w:val="20"/>
        </w:rPr>
        <w:t xml:space="preserve">173,317, of which approximately </w:t>
      </w:r>
      <w:bookmarkStart w:id="311" w:name="xdx_907_ecustom--ConsolidatedAssetPercen"/>
      <w:bookmarkEnd w:id="311"/>
      <w:r>
        <w:rPr>
          <w:rFonts w:ascii="Times New Roman;Times;Serif" w:hAnsi="Times New Roman;Times;Serif"/>
          <w:b w:val="false"/>
          <w:i w:val="false"/>
          <w:caps w:val="false"/>
          <w:smallCaps w:val="false"/>
          <w:sz w:val="20"/>
        </w:rPr>
        <w:t>33% ($</w:t>
      </w:r>
      <w:bookmarkStart w:id="312" w:name="xdx_90C_eus-gaap--Assets_iI_pn3n3_c20260"/>
      <w:bookmarkEnd w:id="312"/>
      <w:r>
        <w:rPr>
          <w:rFonts w:ascii="Times New Roman;Times;Serif" w:hAnsi="Times New Roman;Times;Serif"/>
          <w:b w:val="false"/>
          <w:i w:val="false"/>
          <w:caps w:val="false"/>
          <w:smallCaps w:val="false"/>
          <w:sz w:val="20"/>
        </w:rPr>
        <w:t xml:space="preserve">56,387) were located in the United States and </w:t>
      </w:r>
      <w:bookmarkStart w:id="313" w:name="xdx_90D_ecustom--ConsolidatedAssetPercen"/>
      <w:bookmarkEnd w:id="313"/>
      <w:r>
        <w:rPr>
          <w:rFonts w:ascii="Times New Roman;Times;Serif" w:hAnsi="Times New Roman;Times;Serif"/>
          <w:b w:val="false"/>
          <w:i w:val="false"/>
          <w:caps w:val="false"/>
          <w:smallCaps w:val="false"/>
          <w:sz w:val="20"/>
        </w:rPr>
        <w:t>67% ($</w:t>
      </w:r>
      <w:bookmarkStart w:id="314" w:name="xdx_907_eus-gaap--Assets_iI_pn3n3_c20260"/>
      <w:bookmarkEnd w:id="314"/>
      <w:r>
        <w:rPr>
          <w:rFonts w:ascii="Times New Roman;Times;Serif" w:hAnsi="Times New Roman;Times;Serif"/>
          <w:b w:val="false"/>
          <w:i w:val="false"/>
          <w:caps w:val="false"/>
          <w:smallCaps w:val="false"/>
          <w:sz w:val="20"/>
        </w:rPr>
        <w:t>116,930) were located in Canada. The Canadian assets are held through ExchangeCo, a wholly owned subsidiary of the Company, and relate to the Company’s Streamex Exchange business. These assets consist primarily of goodwill and intangible assets ($</w:t>
      </w:r>
      <w:bookmarkStart w:id="315" w:name="xdx_908_eus-gaap--IntangibleAssetsNetInc"/>
      <w:bookmarkEnd w:id="315"/>
      <w:r>
        <w:rPr>
          <w:rFonts w:ascii="Times New Roman;Times;Serif" w:hAnsi="Times New Roman;Times;Serif"/>
          <w:b w:val="false"/>
          <w:i w:val="false"/>
          <w:caps w:val="false"/>
          <w:smallCaps w:val="false"/>
          <w:sz w:val="20"/>
        </w:rPr>
        <w:t>111,931), cash ($</w:t>
      </w:r>
      <w:bookmarkStart w:id="316" w:name="xdx_900_eus-gaap--CashEquivalentsAtCarry"/>
      <w:bookmarkEnd w:id="316"/>
      <w:r>
        <w:rPr>
          <w:rFonts w:ascii="Times New Roman;Times;Serif" w:hAnsi="Times New Roman;Times;Serif"/>
          <w:b w:val="false"/>
          <w:i w:val="false"/>
          <w:caps w:val="false"/>
          <w:smallCaps w:val="false"/>
          <w:sz w:val="20"/>
        </w:rPr>
        <w:t>4,907), sales tax receivable ($</w:t>
      </w:r>
      <w:bookmarkStart w:id="317" w:name="xdx_901_ecustom--SalesTaxReceivable_iI_p"/>
      <w:bookmarkEnd w:id="317"/>
      <w:r>
        <w:rPr>
          <w:rFonts w:ascii="Times New Roman;Times;Serif" w:hAnsi="Times New Roman;Times;Serif"/>
          <w:b w:val="false"/>
          <w:i w:val="false"/>
          <w:caps w:val="false"/>
          <w:smallCaps w:val="false"/>
          <w:sz w:val="20"/>
        </w:rPr>
        <w:t>59), and prepaid expenses and other assets ($</w:t>
      </w:r>
      <w:bookmarkStart w:id="318" w:name="xdx_906_eus-gaap--LongTermInvestments_iI"/>
      <w:bookmarkEnd w:id="318"/>
      <w:r>
        <w:rPr>
          <w:rFonts w:ascii="Times New Roman;Times;Serif" w:hAnsi="Times New Roman;Times;Serif"/>
          <w:b w:val="false"/>
          <w:i w:val="false"/>
          <w:caps w:val="false"/>
          <w:smallCaps w:val="false"/>
          <w:sz w:val="20"/>
        </w:rPr>
        <w:t>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cash of $</w:t>
      </w:r>
      <w:bookmarkStart w:id="319" w:name="xdx_906_eus-gaap--Cash_iI_pn3n3_c2026033"/>
      <w:bookmarkEnd w:id="319"/>
      <w:r>
        <w:rPr>
          <w:rFonts w:ascii="Times New Roman;Times;Serif" w:hAnsi="Times New Roman;Times;Serif"/>
          <w:b w:val="false"/>
          <w:i w:val="false"/>
          <w:caps w:val="false"/>
          <w:smallCaps w:val="false"/>
          <w:sz w:val="20"/>
        </w:rPr>
        <w:t>6,859 was held across the following jurisdictions: approximately $</w:t>
      </w:r>
      <w:bookmarkStart w:id="320" w:name="xdx_904_eus-gaap--Cash_iI_pn3n3_c2026033"/>
      <w:bookmarkEnd w:id="320"/>
      <w:r>
        <w:rPr>
          <w:rFonts w:ascii="Times New Roman;Times;Serif" w:hAnsi="Times New Roman;Times;Serif"/>
          <w:b w:val="false"/>
          <w:i w:val="false"/>
          <w:caps w:val="false"/>
          <w:smallCaps w:val="false"/>
          <w:sz w:val="20"/>
        </w:rPr>
        <w:t>1,952 in the United States (including $</w:t>
      </w:r>
      <w:bookmarkStart w:id="321" w:name="xdx_90D_eus-gaap--CashEquivalentsAtCarry"/>
      <w:bookmarkEnd w:id="321"/>
      <w:r>
        <w:rPr>
          <w:rFonts w:ascii="Times New Roman;Times;Serif" w:hAnsi="Times New Roman;Times;Serif"/>
          <w:b w:val="false"/>
          <w:i w:val="false"/>
          <w:caps w:val="false"/>
          <w:smallCaps w:val="false"/>
          <w:sz w:val="20"/>
        </w:rPr>
        <w:t>60 held by Streamex Ltd., the Company’s consolidated VIE, in accounts in the United States and the Cayman Islands), and approximately $</w:t>
      </w:r>
      <w:bookmarkStart w:id="322" w:name="xdx_905_eus-gaap--CashEquivalentsAtCarry"/>
      <w:bookmarkEnd w:id="322"/>
      <w:r>
        <w:rPr>
          <w:rFonts w:ascii="Times New Roman;Times;Serif" w:hAnsi="Times New Roman;Times;Serif"/>
          <w:b w:val="false"/>
          <w:i w:val="false"/>
          <w:caps w:val="false"/>
          <w:smallCaps w:val="false"/>
          <w:sz w:val="20"/>
        </w:rPr>
        <w:t>4,907 in Canada through ExchangeCo. Cash held in Canada is denominated primarily in U.S. dollars and is not subject to material repatriation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geographic concentrations in accordance with ASC 275, </w:t>
      </w:r>
      <w:r>
        <w:rPr>
          <w:rFonts w:ascii="Times New Roman;Times;Serif" w:hAnsi="Times New Roman;Times;Serif"/>
          <w:b w:val="false"/>
          <w:i/>
          <w:caps w:val="false"/>
          <w:smallCaps w:val="false"/>
          <w:sz w:val="20"/>
        </w:rPr>
        <w:t>Risks and Uncertainties</w:t>
      </w:r>
      <w:r>
        <w:rPr>
          <w:rFonts w:ascii="Times New Roman;Times;Serif" w:hAnsi="Times New Roman;Times;Serif"/>
          <w:b w:val="false"/>
          <w:i w:val="false"/>
          <w:caps w:val="false"/>
          <w:smallCaps w:val="false"/>
          <w:sz w:val="20"/>
        </w:rPr>
        <w:t>, and considers potential exposure to economic, regulatory, and currency-related risks. While the Canadian-based assets represent a significant portion of consolidated assets, they are not currently subject to material operational, legal, or foreign exchange restrictions. Management believes that the Company is not exposed to heightened risk from geographic concentration, given the nature of the assets, the stability of the Canadian jurisdiction, and the strategic alignment of the Streamex Exchange business with the Company’s broader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23" w:name="xdx_865_ztWpfDMk4MKe"/>
      <w:bookmarkStart w:id="324" w:name="xdx_844_eus-gaap--EarningsPerSharePolicy"/>
      <w:bookmarkEnd w:id="323"/>
      <w:bookmarkEnd w:id="324"/>
      <w:r>
        <w:rPr>
          <w:rFonts w:ascii="Times New Roman;Times;Serif" w:hAnsi="Times New Roman;Times;Serif"/>
          <w:b w:val="false"/>
          <w:i/>
          <w:caps w:val="false"/>
          <w:smallCaps w:val="false"/>
          <w:sz w:val="20"/>
        </w:rPr>
        <w:t>Net Income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(loss) per share in accordance with Accounting Standards Codification subtopic 260, Earnings Per Share (“ASC 260”). Basic earnings (loss) per common share is computed by dividing net income (loss) attributable to the Company’s common stockholders by the weighted-average number of shares of common stock outstanding during the period, including exchangeable shares that are economically equivalent to the Company’s common stock.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outstanding exchangeable shares issued by a consolidated subsidiary that are economically equivalent to the Company’s common stock in all material respects, including rights to dividends and participation in earnings, and are exchangeable on a one-for-one basis into shares of the Company’s common stock at the option of the holders. The exchangeable shares are classified within stockholders’ equity and are included in the weighted-average shares outstanding used in the calculation of basic earnings (loss) per common share because these shares participate equally with the Company’s common stock in undistributed net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common share is computed by giving effect to all potentially dilutive securities and other contracts to issue common stock using the treasury stock method and the if-converted method, as applicable, in accordance with ASC 260. Potentially dilutive securities may include stock options, warrants, restricted stock units, and other equity awards (treasury stock method), as well as the Company’s convertible preferred stock and convertible debt, including the secured convertible debentures (if-converted method). Under the if-converted method, convertible instruments are assumed to have been converted at the beginning of the period (or at issuance, if later), and related preferred dividends and/or interest expense (net of tax), as applicable, are adjusted in the determination of net income available to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in which the Company reports a net loss, basic and diluted loss per share are the same, as the inclusion of stock options, warrants, restricted stock units, convertible preferred stock, convertible debt and other potentially dilutive securities would be antidilutive. Accordingly, such securities are excluded from the computation of diluted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5" w:name="xdx_891_eus-gaap--ScheduleOfAntidilutive"/>
      <w:bookmarkEnd w:id="325"/>
      <w:r>
        <w:rPr>
          <w:rFonts w:ascii="Times New Roman;Times;Serif" w:hAnsi="Times New Roman;Times;Serif"/>
          <w:b w:val="false"/>
          <w:i w:val="false"/>
          <w:caps w:val="false"/>
          <w:smallCaps w:val="false"/>
          <w:sz w:val="20"/>
        </w:rPr>
        <w:t>Potentially dilutive securities excluded from the computation of basic and diluted net income (loss) per share are as follows:</w:t>
      </w:r>
    </w:p>
    <w:p>
      <w:pPr>
        <w:pStyle w:val="TextBody"/>
        <w:bidi w:val="0"/>
        <w:spacing w:before="0" w:after="0"/>
        <w:ind w:left="0" w:right="0" w:hanging="0"/>
        <w:jc w:val="both"/>
        <w:rPr>
          <w:caps w:val="false"/>
          <w:smallCaps w:val="false"/>
        </w:rPr>
      </w:pPr>
      <w:r>
        <w:rPr>
          <w:caps w:val="false"/>
          <w:smallCaps w:val="false"/>
        </w:rPr>
        <w:t> </w:t>
      </w:r>
      <w:bookmarkStart w:id="326" w:name="xdx_8BC_zk0Zm9qPd40c"/>
      <w:bookmarkEnd w:id="326"/>
      <w:r>
        <w:rPr>
          <w:rFonts w:ascii="Times New Roman;Times;Serif" w:hAnsi="Times New Roman;Times;Serif"/>
          <w:b w:val="false"/>
          <w:i w:val="false"/>
          <w:caps w:val="false"/>
          <w:smallCaps w:val="false"/>
          <w:sz w:val="20"/>
        </w:rPr>
        <w:t>SCHEDULE OF ANTI-DILUTIVE SECURITIES EXCLUDED FROM COMPUTATION OF EARNINGS PER SHARE</w:t>
      </w:r>
    </w:p>
    <w:tbl>
      <w:tblPr>
        <w:tblW w:w="6959" w:type="dxa"/>
        <w:jc w:val="left"/>
        <w:tblInd w:w="0" w:type="dxa"/>
        <w:tblLayout w:type="fixed"/>
        <w:tblCellMar>
          <w:top w:w="0" w:type="dxa"/>
          <w:left w:w="0" w:type="dxa"/>
          <w:bottom w:w="0" w:type="dxa"/>
          <w:right w:w="0" w:type="dxa"/>
        </w:tblCellMar>
      </w:tblPr>
      <w:tblGrid>
        <w:gridCol w:w="4475"/>
        <w:gridCol w:w="60"/>
        <w:gridCol w:w="60"/>
        <w:gridCol w:w="1100"/>
        <w:gridCol w:w="60"/>
        <w:gridCol w:w="60"/>
        <w:gridCol w:w="61"/>
        <w:gridCol w:w="1008"/>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7" w:name="xdx_49E_20260101__20260331_zEFHQy3vyYqb"/>
            <w:bookmarkEnd w:id="327"/>
          </w:p>
        </w:tc>
        <w:tc>
          <w:tcPr>
            <w:tcW w:w="116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8" w:name="xdx_499_20250101__20250331_zJrIiRundIM3"/>
            <w:bookmarkEnd w:id="328"/>
          </w:p>
        </w:tc>
        <w:tc>
          <w:tcPr>
            <w:tcW w:w="1069" w:type="dxa"/>
            <w:gridSpan w:val="2"/>
            <w:tcBorders/>
            <w:vAlign w:val="center"/>
          </w:tcPr>
          <w:p>
            <w:pPr>
              <w:pStyle w:val="TableContents"/>
              <w:bidi w:val="0"/>
              <w:spacing w:before="0" w:after="283"/>
              <w:jc w:val="center"/>
              <w:rPr>
                <w:b/>
              </w:rPr>
            </w:pPr>
            <w:r>
              <w:rPr>
                <w:b/>
              </w:rPr>
              <w:t>March 31,</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329" w:name="xdx_402_eus-gaap--AntidilutiveSecurities"/>
            <w:bookmarkEnd w:id="329"/>
          </w:p>
        </w:tc>
      </w:tr>
      <w:tr>
        <w:trPr/>
        <w:tc>
          <w:tcPr>
            <w:tcW w:w="4475" w:type="dxa"/>
            <w:tcBorders/>
            <w:shd w:fill="CCEEFF" w:val="clear"/>
            <w:vAlign w:val="center"/>
          </w:tcPr>
          <w:p>
            <w:pPr>
              <w:pStyle w:val="TableContents"/>
              <w:bidi w:val="0"/>
              <w:spacing w:before="0" w:after="283"/>
              <w:jc w:val="left"/>
              <w:rPr/>
            </w:pPr>
            <w:r>
              <w:rPr/>
              <w:t>Series C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434,845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564,234</w:t>
            </w:r>
          </w:p>
        </w:tc>
        <w:tc>
          <w:tcPr>
            <w:tcW w:w="75" w:type="dxa"/>
            <w:tcBorders/>
            <w:shd w:fill="CCEEFF" w:val="clear"/>
            <w:vAlign w:val="center"/>
          </w:tcPr>
          <w:p>
            <w:pPr>
              <w:pStyle w:val="TableContents"/>
              <w:bidi w:val="0"/>
              <w:spacing w:before="0" w:after="283"/>
              <w:jc w:val="left"/>
              <w:rPr/>
            </w:pPr>
            <w:r>
              <w:rPr/>
              <w:t> </w:t>
            </w:r>
            <w:bookmarkStart w:id="330" w:name="xdx_407_eus-gaap--AntidilutiveSecurities"/>
            <w:bookmarkEnd w:id="330"/>
          </w:p>
        </w:tc>
      </w:tr>
      <w:tr>
        <w:trPr/>
        <w:tc>
          <w:tcPr>
            <w:tcW w:w="4475" w:type="dxa"/>
            <w:tcBorders/>
            <w:shd w:fill="FFFFFF" w:val="clear"/>
            <w:vAlign w:val="center"/>
          </w:tcPr>
          <w:p>
            <w:pPr>
              <w:pStyle w:val="TableContents"/>
              <w:bidi w:val="0"/>
              <w:spacing w:before="0" w:after="283"/>
              <w:jc w:val="left"/>
              <w:rPr/>
            </w:pPr>
            <w:r>
              <w:rPr/>
              <w:t>Options to purchase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2,921,000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2,486,000</w:t>
            </w:r>
          </w:p>
        </w:tc>
        <w:tc>
          <w:tcPr>
            <w:tcW w:w="75" w:type="dxa"/>
            <w:tcBorders/>
            <w:shd w:fill="FFFFFF" w:val="clear"/>
            <w:vAlign w:val="center"/>
          </w:tcPr>
          <w:p>
            <w:pPr>
              <w:pStyle w:val="TableContents"/>
              <w:bidi w:val="0"/>
              <w:spacing w:before="0" w:after="283"/>
              <w:jc w:val="left"/>
              <w:rPr/>
            </w:pPr>
            <w:r>
              <w:rPr/>
              <w:t> </w:t>
            </w:r>
            <w:bookmarkStart w:id="331" w:name="xdx_407_eus-gaap--AntidilutiveSecurities"/>
            <w:bookmarkEnd w:id="331"/>
          </w:p>
        </w:tc>
      </w:tr>
      <w:tr>
        <w:trPr/>
        <w:tc>
          <w:tcPr>
            <w:tcW w:w="4475" w:type="dxa"/>
            <w:tcBorders/>
            <w:shd w:fill="CCEEFF" w:val="clear"/>
            <w:vAlign w:val="center"/>
          </w:tcPr>
          <w:p>
            <w:pPr>
              <w:pStyle w:val="TableContents"/>
              <w:bidi w:val="0"/>
              <w:spacing w:before="0" w:after="283"/>
              <w:jc w:val="left"/>
              <w:rPr/>
            </w:pPr>
            <w:r>
              <w:rPr/>
              <w:t>Performance-based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32" w:name="xdx_40F_eus-gaap--AntidilutiveSecurities"/>
            <w:bookmarkEnd w:id="332"/>
          </w:p>
        </w:tc>
      </w:tr>
      <w:tr>
        <w:trPr/>
        <w:tc>
          <w:tcPr>
            <w:tcW w:w="4475" w:type="dxa"/>
            <w:tcBorders/>
            <w:shd w:fill="FFFFFF" w:val="clear"/>
            <w:vAlign w:val="center"/>
          </w:tcPr>
          <w:p>
            <w:pPr>
              <w:pStyle w:val="TableContents"/>
              <w:bidi w:val="0"/>
              <w:spacing w:before="0" w:after="283"/>
              <w:jc w:val="left"/>
              <w:rPr/>
            </w:pPr>
            <w:r>
              <w:rPr/>
              <w:t>Warrants to purchase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1,647,885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5,577,260</w:t>
            </w:r>
          </w:p>
        </w:tc>
        <w:tc>
          <w:tcPr>
            <w:tcW w:w="75" w:type="dxa"/>
            <w:tcBorders/>
            <w:shd w:fill="FFFFFF" w:val="clear"/>
            <w:vAlign w:val="center"/>
          </w:tcPr>
          <w:p>
            <w:pPr>
              <w:pStyle w:val="TableContents"/>
              <w:bidi w:val="0"/>
              <w:spacing w:before="0" w:after="283"/>
              <w:jc w:val="left"/>
              <w:rPr/>
            </w:pPr>
            <w:r>
              <w:rPr/>
              <w:t> </w:t>
            </w:r>
            <w:bookmarkStart w:id="333" w:name="xdx_40C_eus-gaap--AntidilutiveSecurities"/>
            <w:bookmarkEnd w:id="333"/>
          </w:p>
        </w:tc>
      </w:tr>
      <w:tr>
        <w:trPr/>
        <w:tc>
          <w:tcPr>
            <w:tcW w:w="4475" w:type="dxa"/>
            <w:tcBorders/>
            <w:shd w:fill="CCEEFF" w:val="clear"/>
            <w:vAlign w:val="center"/>
          </w:tcPr>
          <w:p>
            <w:pPr>
              <w:pStyle w:val="TableContents"/>
              <w:bidi w:val="0"/>
              <w:spacing w:before="0" w:after="283"/>
              <w:jc w:val="left"/>
              <w:rPr/>
            </w:pPr>
            <w:r>
              <w:rPr/>
              <w:t>Restricted stock units to acquire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4,583,375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1,160,830</w:t>
            </w:r>
          </w:p>
        </w:tc>
        <w:tc>
          <w:tcPr>
            <w:tcW w:w="75" w:type="dxa"/>
            <w:tcBorders/>
            <w:shd w:fill="CCEEFF" w:val="clear"/>
            <w:vAlign w:val="center"/>
          </w:tcPr>
          <w:p>
            <w:pPr>
              <w:pStyle w:val="TableContents"/>
              <w:bidi w:val="0"/>
              <w:spacing w:before="0" w:after="283"/>
              <w:jc w:val="left"/>
              <w:rPr/>
            </w:pPr>
            <w:r>
              <w:rPr/>
              <w:t> </w:t>
            </w:r>
            <w:bookmarkStart w:id="334" w:name="xdx_40E_eus-gaap--AntidilutiveSecurities"/>
            <w:bookmarkEnd w:id="334"/>
          </w:p>
        </w:tc>
      </w:tr>
      <w:tr>
        <w:trPr/>
        <w:tc>
          <w:tcPr>
            <w:tcW w:w="4475" w:type="dxa"/>
            <w:tcBorders/>
            <w:shd w:fill="FFFFFF" w:val="clear"/>
            <w:vAlign w:val="center"/>
          </w:tcPr>
          <w:p>
            <w:pPr>
              <w:pStyle w:val="TableContents"/>
              <w:bidi w:val="0"/>
              <w:spacing w:before="0" w:after="283"/>
              <w:jc w:val="left"/>
              <w:rPr/>
            </w:pPr>
            <w:r>
              <w:rPr/>
              <w:t>Totals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11,087,105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pPr>
            <w:r>
              <w:rPr/>
              <w:t>9,788,324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5" w:name="xdx_8AA_ziCgUUwJCo63"/>
      <w:bookmarkEnd w:id="335"/>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336" w:name="xdx_86C_zJ2NVc4Vd7u1"/>
      <w:bookmarkStart w:id="337" w:name="xdx_843_ecustom--RecentlyAdoptedAccounti"/>
      <w:bookmarkEnd w:id="336"/>
      <w:bookmarkEnd w:id="337"/>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This standard provides all entities with a practical expedient to assume that current conditions as of the balance sheet date do not change for the remaining life of the current accounts receivable and current contract assets. ASU 2025-05 is effective for fiscal years beginning after December 15, 2025 and interim periods within those fiscal years, with early adoption permitted. The Company adopted ASU 2025-05 in 2026 and the adoption had no material impact on our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38" w:name="xdx_861_zm4so91Jjuii"/>
      <w:bookmarkStart w:id="339" w:name="xdx_846_eus-gaap--NewAccountingPronounce"/>
      <w:bookmarkEnd w:id="338"/>
      <w:bookmarkEnd w:id="339"/>
      <w:r>
        <w:rPr>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(“ASU 2024-03”). ASU 2024-03 requires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and disclosures about selling expenses. As amended by ASU 2025-01, ASU 2024-03 is effective for annual reporting periods beginning after December 15, 2026, and interim reporting periods within annual reporting periods beginning after December 15, 2027. The Company is currently evaluating ASU 2024-03 and does not expect it to have a material effect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No. 2025-03, Business Combinations (Topic 805) and Consolidation (Topic 810): Determining the Accounting Acquirer in the Acquisition of a Variable Interest Entity (“VIE”), which provides clarifying guidance on determining the accounting acquirer in certain transactions involving VIEs. The update aims to improve consistency and comparability in financial reporting. The guidance will be effective for annual periods beginning after December 15, 2026, including interim periods within those annual periods. Early adoption is permitted. Upon adoption, the guidance will be applied prospectively. The Company is currently evaluating the provisions of the amendments and the impact on its future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Targeted Improvements to the Accounting for Internal-Use Software, to modernize the accounting guidance for internal-use software costs. The standard removes all references to software development project stages and instead requires capitalization when (i) management has authorized and committed to funding the software project and (ii) it is probable that the project will be completed and the software will be used to perform the function intended. ASU 2025-06 is effective for fiscal years beginning after December 15, 2027 and interim periods within those fiscal years, with early adoption permitted. The Company is currently evaluating the impact of adopting ASU 2025-06.</w:t>
      </w:r>
    </w:p>
    <w:p>
      <w:pPr>
        <w:pStyle w:val="TextBody"/>
        <w:bidi w:val="0"/>
        <w:spacing w:before="0" w:after="0"/>
        <w:ind w:left="0" w:right="0" w:hanging="0"/>
        <w:jc w:val="both"/>
        <w:rPr>
          <w:caps w:val="false"/>
          <w:smallCaps w:val="false"/>
        </w:rPr>
      </w:pPr>
      <w:bookmarkStart w:id="340" w:name="xdx_85A_zHVh2JDsRvxh"/>
      <w:bookmarkEnd w:id="34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1" w:name="xdx_806_eus-gaap--BusinessCombinationDis"/>
      <w:bookmarkEnd w:id="341"/>
      <w:r>
        <w:rPr>
          <w:rFonts w:ascii="Times New Roman;Times;Serif" w:hAnsi="Times New Roman;Times;Serif"/>
          <w:b/>
          <w:i w:val="false"/>
          <w:caps w:val="false"/>
          <w:smallCaps w:val="false"/>
          <w:sz w:val="20"/>
        </w:rPr>
        <w:t xml:space="preserve">NOTE 4 – </w:t>
      </w:r>
      <w:bookmarkStart w:id="342" w:name="xdx_820_zalHNhdCbtBc"/>
      <w:bookmarkEnd w:id="342"/>
      <w:r>
        <w:rPr>
          <w:rFonts w:ascii="Times New Roman;Times;Serif" w:hAnsi="Times New Roman;Times;Serif"/>
          <w:b/>
          <w:i w:val="false"/>
          <w:caps w:val="false"/>
          <w:smallCaps w:val="false"/>
          <w:sz w:val="20"/>
        </w:rPr>
        <w:t>BUSINESS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Exchange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bookmarkStart w:id="343" w:name="xdx_906_eus-gaap--BusinessAcquisitionDat"/>
      <w:bookmarkEnd w:id="343"/>
      <w:r>
        <w:rPr>
          <w:rFonts w:ascii="Times New Roman;Times;Serif" w:hAnsi="Times New Roman;Times;Serif"/>
          <w:b w:val="false"/>
          <w:i w:val="false"/>
          <w:caps w:val="false"/>
          <w:smallCaps w:val="false"/>
          <w:sz w:val="20"/>
        </w:rPr>
        <w:t>May 28, 2025, the Company completed the acquisition of Streamex Exchange, a software development company based in Vancouver, British Columbia, specializing in digital tools for commodity trading and 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effected pursuant to the Share Purchase Agreement dated May 23, 2025, as amended on May 27, 2025, by and among the Company, its wholly-owned subsidiaries ExchangeCo and Callco, the Streamex Exchange Shareholders, and 1540873 B.C. Ltd., as trustee under the Exchange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Share Purchase Agreement, ExchangeCo acquired all of the issued and outstanding shares of Streamex Exchange (the “Purchased Shares”) in exchange for </w:t>
      </w:r>
      <w:bookmarkStart w:id="344" w:name="xdx_90D_eus-gaap--SaleOfStockNumberOfSha"/>
      <w:bookmarkEnd w:id="344"/>
      <w:r>
        <w:rPr>
          <w:rFonts w:ascii="Times New Roman;Times;Serif" w:hAnsi="Times New Roman;Times;Serif"/>
          <w:b w:val="false"/>
          <w:i w:val="false"/>
          <w:caps w:val="false"/>
          <w:smallCaps w:val="false"/>
          <w:sz w:val="20"/>
        </w:rPr>
        <w:t xml:space="preserve">109,070,079 Exchangeable Shares of ExchangeCo, issued at a ratio of </w:t>
      </w:r>
      <w:bookmarkStart w:id="345" w:name="xdx_906_eus-gaap--SaleOfStockPricePerSha"/>
      <w:bookmarkEnd w:id="345"/>
      <w:r>
        <w:rPr>
          <w:rFonts w:ascii="Times New Roman;Times;Serif" w:hAnsi="Times New Roman;Times;Serif"/>
          <w:b w:val="false"/>
          <w:i w:val="false"/>
          <w:caps w:val="false"/>
          <w:smallCaps w:val="false"/>
          <w:sz w:val="20"/>
        </w:rPr>
        <w:t>2.046862 Exchangeable Shares per Purchased Share. The Exchangeable Shares are exchangeable on a one-for-one basis for shares of the Company’s common stock, subject to certain adjustments and conditions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Acquisition was to enhance shareholder value by combining with a privately held operating company and positioning the combined entity for future growth with expansion into digital commodity trading and blockchain-based financial technologies. The acquisition was undertaken to expand the Company’s technology platform into digital commodity trading and blockchain-based financial infrastructure and to obtain the assembled workforce, intellectual property, and regulatory capabilities of Streamex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the Company evaluated the accounting under ASC 805, Business Combinations, and ASC 810, Consolidation. The Company concluded the acquired set met the definition of a business. In making this determination, the Company considered the concentration test in ASC 805 and determined that substantially all of the fair value of the gross assets acquired was not concentrated in a single identifiable asset or group of similar identifiable assets. The Company also evaluated whether the acquiree is a variable interest entity (“VIE”) and concluded Streamex Exchange is a VIE because, among other factors, it lacked sufficient equity at risk to finance its activities without additional subordinated financial support and the equity holders, as a group, did not have substantive power to direct the activities that most significantly impact economic performance at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it is the primary beneficiary because it has both (i) the power to direct the activities that most significantly impact Streamex’s economic performance through governance rights in place at closing and (ii) the obligation to absorb losses or the right to receive benefits that could potentially be significant. Accordingly, the transaction is accounted for as a business combination with the Company as the accounting acquirer, and Streamex Exchange has been consolidated in the Company’s financial statements from the acquisition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Approval and Contingent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Exchangeable Shares were not exchangeable into more than 19.99% of the Company’s outstanding common stock on a pre-transaction basis, in accordance with Nasdaq listing rules. Following the closing, the Company sought stockholder approval for certain matters related to the transaction, including the issuance of shares of common stock exchangeable for Exchangeable Shares, the issuance of shares underlying the Convertible Debentures, increases to the authorized share count and the 2023 Long-Term Incentive Plan, and amendments to the Company’s Amended and Restated Certificate of Incorporation. At the special meeting of stockholders held on September 5, 2025, all proposals except the issuance of shares exchangeable for Exchangeable Shares (Proposal A) were approved. Proposal A was subsequently approved on November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stockholder approval of Proposal A on November 4, 2025, and subject to the terms of the Exchange Rights Agreement, the holders of Exchangeable Shares are entitled to exchange such shares for an aggregate of </w:t>
      </w:r>
      <w:bookmarkStart w:id="346" w:name="xdx_903_eus-gaap--SaleOfStockNumberOfSha"/>
      <w:bookmarkEnd w:id="346"/>
      <w:r>
        <w:rPr>
          <w:rFonts w:ascii="Times New Roman;Times;Serif" w:hAnsi="Times New Roman;Times;Serif"/>
          <w:b w:val="false"/>
          <w:i w:val="false"/>
          <w:caps w:val="false"/>
          <w:smallCaps w:val="false"/>
          <w:sz w:val="20"/>
        </w:rPr>
        <w:t>109,070,079 shares of the Company’s common stock representing up to 75% of the Company’s fully diluted common stock as of the Share Purchase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Consideration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consideration transferred was $</w:t>
      </w:r>
      <w:bookmarkStart w:id="347" w:name="xdx_902_eus-gaap--BusinessCombinationCon"/>
      <w:bookmarkEnd w:id="347"/>
      <w:r>
        <w:rPr>
          <w:rFonts w:ascii="Times New Roman;Times;Serif" w:hAnsi="Times New Roman;Times;Serif"/>
          <w:b w:val="false"/>
          <w:i w:val="false"/>
          <w:caps w:val="false"/>
          <w:smallCaps w:val="false"/>
          <w:sz w:val="20"/>
        </w:rPr>
        <w:t>105,498, consisting entirely of Exchangeable Shares issued by ExchangeCo. Due to the lack of an active market for the Exchangeable Shares and the contingent nature of their conversion, a fundamentals-based valuation approach was used to estimate the fair value of the consideration. The contingent consideration related to the potential adjustment of the Exchange Ratio from 1.0 to 1.25—triggered if shareholder approval is not obtained within six months following the closing date—was not included in the purchase consideration as of May 28, 2025. As stockholder approval was obtained on November 4, 2025, within six months of the closing date, the exchange ratio adjustment was not triggered, and no additional consideration was required. For an overview of the Company’s derivative financial instruments and related disclosures required by ASC 815, see Note 11, Convertible Debentures and Related Derivative Instruments. See Note 12, Fair Value Measurements and Note 13,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the Company received shareholder approval for the issuance of our shares of common stock exchangeable for Exchangeable Shares and one share of Special Voting Preferred Stock in connection with the Share Purchase Agreement. As a result, the conversion cap was removed, and Streamex Exchange shareholders may convert their Exchangeable Shares into the Company’s common stock. Concurrently, the derivative liability associated with the Exchangeable Shares was reclassified to permanent equity. As a result of the reclassification, the Exchangeable Shares are classified as permanent equity and are presented within stockholders’ equity in the consolidated balance sheet. No derivative liability related to the Exchangeable Shares remained outstanding as of March 31, 2026 or December 31, 2025. Although the Exchangeable Shares were reclassified to permanent equity upon stockholder approval on November 4, 2025, the consideration transferred for purposes of the acquisition date purchase price allocation reflects the fair value of the Exchangeable Shares as of May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Streamex Exchange, the Company incurred total acquisition-related costs of $</w:t>
      </w:r>
      <w:bookmarkStart w:id="348" w:name="xdx_90E_eus-gaap--BusinessCombinationAcq"/>
      <w:bookmarkEnd w:id="348"/>
      <w:r>
        <w:rPr>
          <w:rFonts w:ascii="Times New Roman;Times;Serif" w:hAnsi="Times New Roman;Times;Serif"/>
          <w:b w:val="false"/>
          <w:i w:val="false"/>
          <w:caps w:val="false"/>
          <w:smallCaps w:val="false"/>
          <w:sz w:val="20"/>
        </w:rPr>
        <w:t>5.9 million during the year ended December 31, 2025. These costs primarily consisted of legal, accounting, and consulting fees directly attributable to the transaction. Included in this amount was the issuance of </w:t>
      </w:r>
      <w:bookmarkStart w:id="349" w:name="xdx_903_eus-gaap--BusinessAcquisitionEqu"/>
      <w:bookmarkEnd w:id="349"/>
      <w:r>
        <w:rPr>
          <w:rFonts w:ascii="Times New Roman;Times;Serif" w:hAnsi="Times New Roman;Times;Serif"/>
          <w:b w:val="false"/>
          <w:i w:val="false"/>
          <w:caps w:val="false"/>
          <w:smallCaps w:val="false"/>
          <w:sz w:val="20"/>
        </w:rPr>
        <w:t>200,000 shares of the Company’s common stock to a third-party consultant, valued at $</w:t>
      </w:r>
      <w:bookmarkStart w:id="350" w:name="xdx_905_eus-gaap--BusinessAcquisitionEqu"/>
      <w:bookmarkEnd w:id="350"/>
      <w:r>
        <w:rPr>
          <w:rFonts w:ascii="Times New Roman;Times;Serif" w:hAnsi="Times New Roman;Times;Serif"/>
          <w:b w:val="false"/>
          <w:i w:val="false"/>
          <w:caps w:val="false"/>
          <w:smallCaps w:val="false"/>
          <w:sz w:val="20"/>
        </w:rPr>
        <w:t>1,010 based on the grant-date fair value and the expected issuance of </w:t>
      </w:r>
      <w:bookmarkStart w:id="351" w:name="xdx_902_eus-gaap--StockIssuedDuringPerio"/>
      <w:bookmarkEnd w:id="351"/>
      <w:r>
        <w:rPr>
          <w:rFonts w:ascii="Times New Roman;Times;Serif" w:hAnsi="Times New Roman;Times;Serif"/>
          <w:b w:val="false"/>
          <w:i w:val="false"/>
          <w:caps w:val="false"/>
          <w:smallCaps w:val="false"/>
          <w:sz w:val="20"/>
        </w:rPr>
        <w:t>824,052 shares of the Company’s common stock to third party consultants in connection with a finders fee, valued at $</w:t>
      </w:r>
      <w:bookmarkStart w:id="352" w:name="xdx_902_ecustom--BusinessCombinationAcqu"/>
      <w:bookmarkEnd w:id="352"/>
      <w:r>
        <w:rPr>
          <w:rFonts w:ascii="Times New Roman;Times;Serif" w:hAnsi="Times New Roman;Times;Serif"/>
          <w:b w:val="false"/>
          <w:i w:val="false"/>
          <w:caps w:val="false"/>
          <w:smallCaps w:val="false"/>
          <w:sz w:val="20"/>
        </w:rPr>
        <w:t>4,820. These costs were expensed as incurred and are reflected in general and administrative expenses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Price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applied the acquisition method of accounting in accordance with ASC 805, Business Combinations (“ASC 805”) and recognized assets acquired and liabilities assumed at their estimated fair value as of the date of acquisition, with the excess purchase consideration recorded to goodwill. During the three months ended March 31, 2026, the Company completed its assessment of the fair values of the assets acquired and liabilities assumed in connection with the acquisition of Streamex Exchange. No measurement period adjustments were recorded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recorded as a business combination based on a valuation of assets acquired and liabilities assumed at their acquisition date fair values using unobservable inputs that are supported by little or no market activity and are significant to their fair value of the assets and liabilities (“Level 3” inputs). Goodwill represents the excess of the purchase price consideration over the valuation of the net assets acquired.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3" w:name="xdx_898_eus-gaap--ScheduleOfRecognizedId"/>
      <w:bookmarkEnd w:id="353"/>
      <w:r>
        <w:rPr>
          <w:rFonts w:ascii="Times New Roman;Times;Serif" w:hAnsi="Times New Roman;Times;Serif"/>
          <w:b w:val="false"/>
          <w:i w:val="false"/>
          <w:caps w:val="false"/>
          <w:smallCaps w:val="false"/>
          <w:sz w:val="20"/>
        </w:rPr>
        <w:t>The final allocation of the purchase consideration is as follows:</w:t>
      </w:r>
    </w:p>
    <w:p>
      <w:pPr>
        <w:pStyle w:val="TextBody"/>
        <w:bidi w:val="0"/>
        <w:spacing w:before="0" w:after="0"/>
        <w:ind w:left="0" w:right="0" w:hanging="0"/>
        <w:jc w:val="both"/>
        <w:rPr>
          <w:caps w:val="false"/>
          <w:smallCaps w:val="false"/>
        </w:rPr>
      </w:pPr>
      <w:r>
        <w:rPr>
          <w:caps w:val="false"/>
          <w:smallCaps w:val="false"/>
        </w:rPr>
        <w:t> </w:t>
      </w:r>
      <w:bookmarkStart w:id="354" w:name="xdx_8B1_zfWY5wRj1Cxe"/>
      <w:bookmarkEnd w:id="354"/>
      <w:r>
        <w:rPr>
          <w:rFonts w:ascii="Times New Roman;Times;Serif" w:hAnsi="Times New Roman;Times;Serif"/>
          <w:b w:val="false"/>
          <w:i w:val="false"/>
          <w:caps w:val="false"/>
          <w:smallCaps w:val="false"/>
          <w:sz w:val="20"/>
        </w:rPr>
        <w:t>SCHEDULE OF TANGIBLE AND IDENTIFIABLE INTANGIBLE ASSETS ACQUIRED AND LIABILITIES ASSUMED</w:t>
      </w:r>
    </w:p>
    <w:tbl>
      <w:tblPr>
        <w:tblW w:w="7490" w:type="dxa"/>
        <w:jc w:val="left"/>
        <w:tblInd w:w="0" w:type="dxa"/>
        <w:tblLayout w:type="fixed"/>
        <w:tblCellMar>
          <w:top w:w="0" w:type="dxa"/>
          <w:left w:w="0" w:type="dxa"/>
          <w:bottom w:w="28" w:type="dxa"/>
          <w:right w:w="0" w:type="dxa"/>
        </w:tblCellMar>
      </w:tblPr>
      <w:tblGrid>
        <w:gridCol w:w="6380"/>
        <w:gridCol w:w="60"/>
        <w:gridCol w:w="140"/>
        <w:gridCol w:w="800"/>
        <w:gridCol w:w="110"/>
      </w:tblGrid>
      <w:tr>
        <w:trPr/>
        <w:tc>
          <w:tcPr>
            <w:tcW w:w="6380" w:type="dxa"/>
            <w:tcBorders>
              <w:bottom w:val="single" w:sz="8" w:space="0" w:color="000000"/>
            </w:tcBorders>
            <w:vAlign w:val="center"/>
          </w:tcPr>
          <w:p>
            <w:pPr>
              <w:pStyle w:val="TableContents"/>
              <w:bidi w:val="0"/>
              <w:spacing w:before="0" w:after="283"/>
              <w:jc w:val="center"/>
              <w:rPr>
                <w:b/>
              </w:rPr>
            </w:pPr>
            <w:r>
              <w:rPr>
                <w:b/>
              </w:rPr>
              <w:t>Amount Recognized as of the Acquisition Date (In Thousands)</w:t>
            </w:r>
          </w:p>
        </w:tc>
        <w:tc>
          <w:tcPr>
            <w:tcW w:w="60" w:type="dxa"/>
            <w:tcBorders/>
            <w:tcMar>
              <w:bottom w:w="0" w:type="dxa"/>
            </w:tcMar>
            <w:vAlign w:val="center"/>
          </w:tcPr>
          <w:p>
            <w:pPr>
              <w:pStyle w:val="TableContents"/>
              <w:bidi w:val="0"/>
              <w:spacing w:before="0" w:after="283"/>
              <w:jc w:val="left"/>
              <w:rPr/>
            </w:pPr>
            <w:r>
              <w:rPr/>
              <w:t> </w:t>
            </w:r>
            <w:bookmarkStart w:id="355" w:name="xdx_490_20250528_znzzs9dxtaCb"/>
            <w:bookmarkEnd w:id="355"/>
          </w:p>
        </w:tc>
        <w:tc>
          <w:tcPr>
            <w:tcW w:w="940" w:type="dxa"/>
            <w:gridSpan w:val="2"/>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380" w:type="dxa"/>
            <w:tcBorders/>
            <w:shd w:fill="CCEEFF" w:val="clear"/>
            <w:tcMar>
              <w:bottom w:w="0" w:type="dxa"/>
            </w:tcMar>
            <w:vAlign w:val="center"/>
          </w:tcPr>
          <w:p>
            <w:pPr>
              <w:pStyle w:val="TableContents"/>
              <w:bidi w:val="0"/>
              <w:spacing w:before="0" w:after="283"/>
              <w:jc w:val="both"/>
              <w:rPr>
                <w:b/>
              </w:rPr>
            </w:pPr>
            <w:r>
              <w:rPr>
                <w:b/>
              </w:rPr>
              <w:t>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356" w:name="xdx_40D_eus-gaap--BusinessCombinationRec"/>
            <w:bookmarkEnd w:id="356"/>
          </w:p>
        </w:tc>
      </w:tr>
      <w:tr>
        <w:trPr/>
        <w:tc>
          <w:tcPr>
            <w:tcW w:w="6380" w:type="dxa"/>
            <w:tcBorders/>
            <w:shd w:fill="FFFFFF" w:val="clear"/>
            <w:tcMar>
              <w:bottom w:w="0" w:type="dxa"/>
            </w:tcMar>
            <w:vAlign w:val="center"/>
          </w:tcPr>
          <w:p>
            <w:pPr>
              <w:pStyle w:val="TableContents"/>
              <w:bidi w:val="0"/>
              <w:spacing w:before="0" w:after="283"/>
              <w:jc w:val="both"/>
              <w:rPr/>
            </w:pPr>
            <w:r>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366</w:t>
            </w:r>
          </w:p>
        </w:tc>
        <w:tc>
          <w:tcPr>
            <w:tcW w:w="110" w:type="dxa"/>
            <w:tcBorders/>
            <w:shd w:fill="FFFFFF" w:val="clear"/>
            <w:tcMar>
              <w:bottom w:w="0" w:type="dxa"/>
            </w:tcMar>
            <w:vAlign w:val="center"/>
          </w:tcPr>
          <w:p>
            <w:pPr>
              <w:pStyle w:val="TableContents"/>
              <w:bidi w:val="0"/>
              <w:spacing w:before="0" w:after="283"/>
              <w:jc w:val="left"/>
              <w:rPr/>
            </w:pPr>
            <w:r>
              <w:rPr/>
              <w:t> </w:t>
            </w:r>
            <w:bookmarkStart w:id="357" w:name="xdx_405_ecustom--BusinessCombinationReco"/>
            <w:bookmarkEnd w:id="357"/>
          </w:p>
        </w:tc>
      </w:tr>
      <w:tr>
        <w:trPr/>
        <w:tc>
          <w:tcPr>
            <w:tcW w:w="6380" w:type="dxa"/>
            <w:tcBorders/>
            <w:shd w:fill="CCEEFF" w:val="clear"/>
            <w:tcMar>
              <w:bottom w:w="0" w:type="dxa"/>
            </w:tcMar>
            <w:vAlign w:val="center"/>
          </w:tcPr>
          <w:p>
            <w:pPr>
              <w:pStyle w:val="TableContents"/>
              <w:bidi w:val="0"/>
              <w:spacing w:before="0" w:after="283"/>
              <w:jc w:val="both"/>
              <w:rPr/>
            </w:pPr>
            <w:r>
              <w:rPr/>
              <w:t>Due from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w:t>
            </w:r>
          </w:p>
        </w:tc>
        <w:tc>
          <w:tcPr>
            <w:tcW w:w="110" w:type="dxa"/>
            <w:tcBorders/>
            <w:shd w:fill="CCEEFF" w:val="clear"/>
            <w:tcMar>
              <w:bottom w:w="0" w:type="dxa"/>
            </w:tcMar>
            <w:vAlign w:val="center"/>
          </w:tcPr>
          <w:p>
            <w:pPr>
              <w:pStyle w:val="TableContents"/>
              <w:bidi w:val="0"/>
              <w:spacing w:before="0" w:after="283"/>
              <w:jc w:val="left"/>
              <w:rPr/>
            </w:pPr>
            <w:r>
              <w:rPr/>
              <w:t> </w:t>
            </w:r>
            <w:bookmarkStart w:id="358" w:name="xdx_40B_ecustom--BusinessCombinationReco"/>
            <w:bookmarkEnd w:id="358"/>
          </w:p>
        </w:tc>
      </w:tr>
      <w:tr>
        <w:trPr/>
        <w:tc>
          <w:tcPr>
            <w:tcW w:w="6380" w:type="dxa"/>
            <w:tcBorders/>
            <w:shd w:fill="FFFFFF" w:val="clear"/>
            <w:tcMar>
              <w:bottom w:w="0" w:type="dxa"/>
            </w:tcMar>
            <w:vAlign w:val="center"/>
          </w:tcPr>
          <w:p>
            <w:pPr>
              <w:pStyle w:val="TableContents"/>
              <w:bidi w:val="0"/>
              <w:spacing w:before="0" w:after="283"/>
              <w:jc w:val="both"/>
              <w:rPr/>
            </w:pPr>
            <w:r>
              <w:rPr/>
              <w:t>Sales tax receivable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14</w:t>
            </w:r>
          </w:p>
        </w:tc>
        <w:tc>
          <w:tcPr>
            <w:tcW w:w="110" w:type="dxa"/>
            <w:tcBorders/>
            <w:shd w:fill="FFFFFF" w:val="clear"/>
            <w:tcMar>
              <w:bottom w:w="0" w:type="dxa"/>
            </w:tcMar>
            <w:vAlign w:val="center"/>
          </w:tcPr>
          <w:p>
            <w:pPr>
              <w:pStyle w:val="TableContents"/>
              <w:bidi w:val="0"/>
              <w:spacing w:before="0" w:after="283"/>
              <w:jc w:val="left"/>
              <w:rPr/>
            </w:pPr>
            <w:r>
              <w:rPr/>
              <w:t> </w:t>
            </w:r>
            <w:bookmarkStart w:id="359" w:name="xdx_408_eus-gaap--BusinessCombinationRec"/>
            <w:bookmarkEnd w:id="359"/>
          </w:p>
        </w:tc>
      </w:tr>
      <w:tr>
        <w:trPr/>
        <w:tc>
          <w:tcPr>
            <w:tcW w:w="6380" w:type="dxa"/>
            <w:tcBorders/>
            <w:shd w:fill="CCEEFF" w:val="clear"/>
            <w:tcMar>
              <w:bottom w:w="0" w:type="dxa"/>
            </w:tcMar>
            <w:vAlign w:val="center"/>
          </w:tcPr>
          <w:p>
            <w:pPr>
              <w:pStyle w:val="TableContents"/>
              <w:bidi w:val="0"/>
              <w:spacing w:before="0" w:after="283"/>
              <w:jc w:val="both"/>
              <w:rPr/>
            </w:pPr>
            <w:r>
              <w:rPr/>
              <w:t>Prepaid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22</w:t>
            </w:r>
          </w:p>
        </w:tc>
        <w:tc>
          <w:tcPr>
            <w:tcW w:w="110" w:type="dxa"/>
            <w:tcBorders/>
            <w:shd w:fill="CCEEFF" w:val="clear"/>
            <w:tcMar>
              <w:bottom w:w="0" w:type="dxa"/>
            </w:tcMar>
            <w:vAlign w:val="center"/>
          </w:tcPr>
          <w:p>
            <w:pPr>
              <w:pStyle w:val="TableContents"/>
              <w:bidi w:val="0"/>
              <w:spacing w:before="0" w:after="283"/>
              <w:jc w:val="left"/>
              <w:rPr/>
            </w:pPr>
            <w:r>
              <w:rPr/>
              <w:t> </w:t>
            </w:r>
            <w:bookmarkStart w:id="360" w:name="xdx_40A_ecustom--BusinessCombinationReco"/>
            <w:bookmarkEnd w:id="360"/>
          </w:p>
        </w:tc>
      </w:tr>
      <w:tr>
        <w:trPr/>
        <w:tc>
          <w:tcPr>
            <w:tcW w:w="6380" w:type="dxa"/>
            <w:tcBorders/>
            <w:shd w:fill="FFFFFF" w:val="clear"/>
            <w:tcMar>
              <w:bottom w:w="0" w:type="dxa"/>
            </w:tcMar>
            <w:vAlign w:val="center"/>
          </w:tcPr>
          <w:p>
            <w:pPr>
              <w:pStyle w:val="TableContents"/>
              <w:bidi w:val="0"/>
              <w:spacing w:before="0" w:after="283"/>
              <w:jc w:val="both"/>
              <w:rPr/>
            </w:pPr>
            <w:r>
              <w:rPr/>
              <w:t>Trade 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5,100</w:t>
            </w:r>
          </w:p>
        </w:tc>
        <w:tc>
          <w:tcPr>
            <w:tcW w:w="110" w:type="dxa"/>
            <w:tcBorders/>
            <w:shd w:fill="FFFFFF" w:val="clear"/>
            <w:tcMar>
              <w:bottom w:w="0" w:type="dxa"/>
            </w:tcMar>
            <w:vAlign w:val="center"/>
          </w:tcPr>
          <w:p>
            <w:pPr>
              <w:pStyle w:val="TableContents"/>
              <w:bidi w:val="0"/>
              <w:spacing w:before="0" w:after="283"/>
              <w:jc w:val="left"/>
              <w:rPr/>
            </w:pPr>
            <w:r>
              <w:rPr/>
              <w:t> </w:t>
            </w:r>
            <w:bookmarkStart w:id="361" w:name="xdx_407_ecustom--BusinessCombinationReco"/>
            <w:bookmarkEnd w:id="361"/>
          </w:p>
        </w:tc>
      </w:tr>
      <w:tr>
        <w:trPr/>
        <w:tc>
          <w:tcPr>
            <w:tcW w:w="6380" w:type="dxa"/>
            <w:tcBorders/>
            <w:shd w:fill="CCEEFF" w:val="clear"/>
            <w:tcMar>
              <w:bottom w:w="0" w:type="dxa"/>
            </w:tcMar>
            <w:vAlign w:val="center"/>
          </w:tcPr>
          <w:p>
            <w:pPr>
              <w:pStyle w:val="TableContents"/>
              <w:bidi w:val="0"/>
              <w:spacing w:before="0" w:after="283"/>
              <w:jc w:val="both"/>
              <w:rPr/>
            </w:pPr>
            <w:r>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40,000</w:t>
            </w:r>
          </w:p>
        </w:tc>
        <w:tc>
          <w:tcPr>
            <w:tcW w:w="110" w:type="dxa"/>
            <w:tcBorders/>
            <w:shd w:fill="CCEEFF" w:val="clear"/>
            <w:tcMar>
              <w:bottom w:w="0" w:type="dxa"/>
            </w:tcMar>
            <w:vAlign w:val="center"/>
          </w:tcPr>
          <w:p>
            <w:pPr>
              <w:pStyle w:val="TableContents"/>
              <w:bidi w:val="0"/>
              <w:spacing w:before="0" w:after="283"/>
              <w:jc w:val="left"/>
              <w:rPr/>
            </w:pPr>
            <w:r>
              <w:rPr/>
              <w:t> </w:t>
            </w:r>
            <w:bookmarkStart w:id="362" w:name="xdx_403_ecustom--BusinessCombinationReco"/>
            <w:bookmarkEnd w:id="362"/>
          </w:p>
        </w:tc>
      </w:tr>
      <w:tr>
        <w:trPr/>
        <w:tc>
          <w:tcPr>
            <w:tcW w:w="6380" w:type="dxa"/>
            <w:tcBorders/>
            <w:shd w:fill="FFFFFF" w:val="clear"/>
            <w:tcMar>
              <w:bottom w:w="0" w:type="dxa"/>
            </w:tcMar>
            <w:vAlign w:val="center"/>
          </w:tcPr>
          <w:p>
            <w:pPr>
              <w:pStyle w:val="TableContents"/>
              <w:bidi w:val="0"/>
              <w:spacing w:before="0" w:after="283"/>
              <w:jc w:val="both"/>
              <w:rPr/>
            </w:pPr>
            <w:r>
              <w:rPr/>
              <w:t>Legal and compliance framework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2,400</w:t>
            </w:r>
          </w:p>
        </w:tc>
        <w:tc>
          <w:tcPr>
            <w:tcW w:w="110" w:type="dxa"/>
            <w:tcBorders/>
            <w:shd w:fill="FFFFFF" w:val="clear"/>
            <w:tcMar>
              <w:bottom w:w="0" w:type="dxa"/>
            </w:tcMar>
            <w:vAlign w:val="center"/>
          </w:tcPr>
          <w:p>
            <w:pPr>
              <w:pStyle w:val="TableContents"/>
              <w:bidi w:val="0"/>
              <w:spacing w:before="0" w:after="283"/>
              <w:jc w:val="left"/>
              <w:rPr/>
            </w:pPr>
            <w:r>
              <w:rPr/>
              <w:t> </w:t>
            </w:r>
            <w:bookmarkStart w:id="363" w:name="xdx_400_ecustom--BusinessCombinationReco"/>
            <w:bookmarkEnd w:id="363"/>
          </w:p>
        </w:tc>
      </w:tr>
      <w:tr>
        <w:trPr/>
        <w:tc>
          <w:tcPr>
            <w:tcW w:w="6380" w:type="dxa"/>
            <w:tcBorders/>
            <w:shd w:fill="CCEEFF" w:val="clear"/>
            <w:tcMar>
              <w:bottom w:w="0" w:type="dxa"/>
            </w:tcMar>
            <w:vAlign w:val="center"/>
          </w:tcPr>
          <w:p>
            <w:pPr>
              <w:pStyle w:val="TableContents"/>
              <w:bidi w:val="0"/>
              <w:spacing w:before="0" w:after="283"/>
              <w:jc w:val="both"/>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70,435</w:t>
            </w:r>
          </w:p>
        </w:tc>
        <w:tc>
          <w:tcPr>
            <w:tcW w:w="110" w:type="dxa"/>
            <w:tcBorders/>
            <w:shd w:fill="CCEEFF" w:val="clear"/>
            <w:tcMar>
              <w:bottom w:w="0" w:type="dxa"/>
            </w:tcMar>
            <w:vAlign w:val="center"/>
          </w:tcPr>
          <w:p>
            <w:pPr>
              <w:pStyle w:val="TableContents"/>
              <w:bidi w:val="0"/>
              <w:spacing w:before="0" w:after="283"/>
              <w:jc w:val="left"/>
              <w:rPr/>
            </w:pPr>
            <w:r>
              <w:rPr/>
              <w:t> </w:t>
            </w:r>
            <w:bookmarkStart w:id="364" w:name="xdx_402_eus-gaap--BusinessCombinationRec"/>
            <w:bookmarkEnd w:id="364"/>
          </w:p>
        </w:tc>
      </w:tr>
      <w:tr>
        <w:trPr/>
        <w:tc>
          <w:tcPr>
            <w:tcW w:w="6380" w:type="dxa"/>
            <w:tcBorders/>
            <w:shd w:fill="FFFFFF" w:val="clear"/>
            <w:tcMar>
              <w:bottom w:w="0" w:type="dxa"/>
            </w:tcMar>
            <w:vAlign w:val="center"/>
          </w:tcPr>
          <w:p>
            <w:pPr>
              <w:pStyle w:val="TableContents"/>
              <w:bidi w:val="0"/>
              <w:spacing w:before="0" w:after="283"/>
              <w:jc w:val="both"/>
              <w:rPr/>
            </w:pPr>
            <w:r>
              <w:rPr/>
              <w:t>Total assets acquired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800" w:type="dxa"/>
            <w:tcBorders>
              <w:bottom w:val="single" w:sz="8" w:space="0" w:color="000000"/>
            </w:tcBorders>
            <w:shd w:fill="FFFFFF" w:val="clear"/>
            <w:vAlign w:val="center"/>
          </w:tcPr>
          <w:p>
            <w:pPr>
              <w:pStyle w:val="TableContents"/>
              <w:bidi w:val="0"/>
              <w:spacing w:before="0" w:after="283"/>
              <w:jc w:val="right"/>
              <w:rPr/>
            </w:pPr>
            <w:r>
              <w:rPr/>
              <w:t>118,348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6380" w:type="dxa"/>
            <w:tcBorders/>
            <w:shd w:fill="CCEEFF" w:val="clear"/>
            <w:tcMar>
              <w:bottom w:w="0" w:type="dxa"/>
            </w:tcMar>
            <w:vAlign w:val="center"/>
          </w:tcPr>
          <w:p>
            <w:pPr>
              <w:pStyle w:val="TableContents"/>
              <w:bidi w:val="0"/>
              <w:spacing w:before="0" w:after="283"/>
              <w:jc w:val="both"/>
              <w:rPr>
                <w:b/>
              </w:rPr>
            </w:pPr>
            <w:r>
              <w:rPr>
                <w:b/>
              </w:rPr>
              <w:t>Liabilities assumed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365" w:name="xdx_409_ecustom--BusinessCombinationReco"/>
            <w:bookmarkEnd w:id="365"/>
          </w:p>
        </w:tc>
      </w:tr>
      <w:tr>
        <w:trPr/>
        <w:tc>
          <w:tcPr>
            <w:tcW w:w="6380" w:type="dxa"/>
            <w:tcBorders/>
            <w:shd w:fill="FFFFFF" w:val="clear"/>
            <w:tcMar>
              <w:bottom w:w="0" w:type="dxa"/>
            </w:tcMar>
            <w:vAlign w:val="center"/>
          </w:tcPr>
          <w:p>
            <w:pPr>
              <w:pStyle w:val="TableContents"/>
              <w:bidi w:val="0"/>
              <w:spacing w:before="0" w:after="283"/>
              <w:jc w:val="both"/>
              <w:rPr/>
            </w:pPr>
            <w:r>
              <w:rPr/>
              <w:t>Accounts payable and accrued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(262</w:t>
            </w:r>
          </w:p>
        </w:tc>
        <w:tc>
          <w:tcPr>
            <w:tcW w:w="110" w:type="dxa"/>
            <w:tcBorders/>
            <w:shd w:fill="FFFFFF" w:val="clear"/>
            <w:tcMar>
              <w:bottom w:w="0" w:type="dxa"/>
            </w:tcMar>
            <w:vAlign w:val="center"/>
          </w:tcPr>
          <w:p>
            <w:pPr>
              <w:pStyle w:val="TableContents"/>
              <w:bidi w:val="0"/>
              <w:spacing w:before="0" w:after="283"/>
              <w:jc w:val="left"/>
              <w:rPr/>
            </w:pPr>
            <w:r>
              <w:rPr/>
              <w:t>)</w:t>
            </w:r>
            <w:bookmarkStart w:id="366" w:name="xdx_40A_eus-gaap--BusinessCombinationRec"/>
            <w:bookmarkEnd w:id="366"/>
          </w:p>
        </w:tc>
      </w:tr>
      <w:tr>
        <w:trPr/>
        <w:tc>
          <w:tcPr>
            <w:tcW w:w="6380" w:type="dxa"/>
            <w:tcBorders/>
            <w:shd w:fill="CCEEFF" w:val="clear"/>
            <w:tcMar>
              <w:bottom w:w="0" w:type="dxa"/>
            </w:tcMar>
            <w:vAlign w:val="center"/>
          </w:tcPr>
          <w:p>
            <w:pPr>
              <w:pStyle w:val="TableContents"/>
              <w:bidi w:val="0"/>
              <w:spacing w:before="0" w:after="283"/>
              <w:jc w:val="both"/>
              <w:rPr/>
            </w:pPr>
            <w:r>
              <w:rPr/>
              <w:t>Deferred tax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(12,588</w:t>
            </w:r>
          </w:p>
        </w:tc>
        <w:tc>
          <w:tcPr>
            <w:tcW w:w="110" w:type="dxa"/>
            <w:tcBorders/>
            <w:shd w:fill="CCEEFF" w:val="clear"/>
            <w:tcMar>
              <w:bottom w:w="0" w:type="dxa"/>
            </w:tcMar>
            <w:vAlign w:val="center"/>
          </w:tcPr>
          <w:p>
            <w:pPr>
              <w:pStyle w:val="TableContents"/>
              <w:bidi w:val="0"/>
              <w:spacing w:before="0" w:after="283"/>
              <w:jc w:val="left"/>
              <w:rPr/>
            </w:pPr>
            <w:r>
              <w:rPr/>
              <w:t>)</w:t>
            </w:r>
            <w:bookmarkStart w:id="367" w:name="xdx_405_eus-gaap--BusinessCombinationRec"/>
            <w:bookmarkEnd w:id="367"/>
          </w:p>
        </w:tc>
      </w:tr>
      <w:tr>
        <w:trPr/>
        <w:tc>
          <w:tcPr>
            <w:tcW w:w="6380" w:type="dxa"/>
            <w:tcBorders/>
            <w:shd w:fill="FFFFFF" w:val="clear"/>
            <w:tcMar>
              <w:bottom w:w="0" w:type="dxa"/>
            </w:tcMar>
            <w:vAlign w:val="center"/>
          </w:tcPr>
          <w:p>
            <w:pPr>
              <w:pStyle w:val="TableContents"/>
              <w:bidi w:val="0"/>
              <w:spacing w:before="0" w:after="283"/>
              <w:jc w:val="both"/>
              <w:rPr/>
            </w:pPr>
            <w:r>
              <w:rPr/>
              <w:t>Total liabilities assumed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800" w:type="dxa"/>
            <w:tcBorders>
              <w:bottom w:val="single" w:sz="8" w:space="0" w:color="000000"/>
            </w:tcBorders>
            <w:shd w:fill="FFFFFF" w:val="clear"/>
            <w:vAlign w:val="center"/>
          </w:tcPr>
          <w:p>
            <w:pPr>
              <w:pStyle w:val="TableContents"/>
              <w:bidi w:val="0"/>
              <w:spacing w:before="0" w:after="283"/>
              <w:jc w:val="right"/>
              <w:rPr/>
            </w:pPr>
            <w:r>
              <w:rPr/>
              <w:t>(12,850</w:t>
            </w:r>
          </w:p>
        </w:tc>
        <w:tc>
          <w:tcPr>
            <w:tcW w:w="110" w:type="dxa"/>
            <w:tcBorders/>
            <w:shd w:fill="FFFFFF" w:val="clear"/>
            <w:tcMar>
              <w:bottom w:w="0" w:type="dxa"/>
            </w:tcMar>
            <w:vAlign w:val="center"/>
          </w:tcPr>
          <w:p>
            <w:pPr>
              <w:pStyle w:val="TableContents"/>
              <w:bidi w:val="0"/>
              <w:spacing w:before="0" w:after="283"/>
              <w:jc w:val="left"/>
              <w:rPr/>
            </w:pPr>
            <w:r>
              <w:rPr/>
              <w:t>)</w:t>
            </w:r>
            <w:bookmarkStart w:id="368" w:name="xdx_405_eus-gaap--BusinessCombinationRec"/>
            <w:bookmarkEnd w:id="368"/>
          </w:p>
        </w:tc>
      </w:tr>
      <w:tr>
        <w:trPr/>
        <w:tc>
          <w:tcPr>
            <w:tcW w:w="6380" w:type="dxa"/>
            <w:tcBorders/>
            <w:shd w:fill="CCEEFF" w:val="clear"/>
            <w:tcMar>
              <w:bottom w:w="0" w:type="dxa"/>
            </w:tcMar>
            <w:vAlign w:val="center"/>
          </w:tcPr>
          <w:p>
            <w:pPr>
              <w:pStyle w:val="TableContents"/>
              <w:bidi w:val="0"/>
              <w:spacing w:before="0" w:after="283"/>
              <w:jc w:val="both"/>
              <w:rPr>
                <w:b/>
              </w:rPr>
            </w:pPr>
            <w:r>
              <w:rPr>
                <w:b/>
              </w:rPr>
              <w:t>Net 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 </w:t>
            </w:r>
          </w:p>
        </w:tc>
        <w:tc>
          <w:tcPr>
            <w:tcW w:w="800" w:type="dxa"/>
            <w:tcBorders>
              <w:bottom w:val="double" w:sz="6" w:space="0" w:color="000000"/>
            </w:tcBorders>
            <w:shd w:fill="CCEEFF" w:val="clear"/>
            <w:vAlign w:val="center"/>
          </w:tcPr>
          <w:p>
            <w:pPr>
              <w:pStyle w:val="TableContents"/>
              <w:bidi w:val="0"/>
              <w:spacing w:before="0" w:after="283"/>
              <w:jc w:val="right"/>
              <w:rPr/>
            </w:pPr>
            <w:r>
              <w:rPr/>
              <w:t>105,498</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9" w:name="xdx_8AD_zHkfQ6WlAHEg"/>
      <w:bookmarkEnd w:id="369"/>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tax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Streamex Exchange, the transaction was structured as a stock acquisition for both U.S. and Canadian tax purposes. No election was made under IRC §338(g); therefore, no step-up in the tax basis of the acquired assets was obtained in either jurisdiction. The purchase price allocation created taxable temporary differences related to identifiable intangible assets, resulting in a deferred tax liability of approximately $</w:t>
      </w:r>
      <w:bookmarkStart w:id="370" w:name="xdx_90A_eus-gaap--DeferredTaxLiabilities"/>
      <w:bookmarkEnd w:id="370"/>
      <w:r>
        <w:rPr>
          <w:rFonts w:ascii="Times New Roman;Times;Serif" w:hAnsi="Times New Roman;Times;Serif"/>
          <w:b w:val="false"/>
          <w:i w:val="false"/>
          <w:caps w:val="false"/>
          <w:smallCaps w:val="false"/>
          <w:sz w:val="20"/>
        </w:rPr>
        <w:t xml:space="preserve">12,588, measured using the enacted combined Canadian federal and provincial rate of </w:t>
      </w:r>
      <w:bookmarkStart w:id="371" w:name="xdx_90E_ecustom--FederalAndProvincialRat"/>
      <w:bookmarkEnd w:id="371"/>
      <w:r>
        <w:rPr>
          <w:rFonts w:ascii="Times New Roman;Times;Serif" w:hAnsi="Times New Roman;Times;Serif"/>
          <w:b w:val="false"/>
          <w:i w:val="false"/>
          <w:caps w:val="false"/>
          <w:smallCaps w:val="false"/>
          <w:sz w:val="20"/>
        </w:rPr>
        <w:t>26.5%. Because these deferred tax liabilities arise in a separate foreign jurisdiction, they cannot offset deferred tax assets of the U.S. parent. The corresponding increase in goodwill was recognized as part of purchase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identified the following finite-lived intangible assets: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 Valued at $</w:t>
            </w:r>
            <w:bookmarkStart w:id="372" w:name="xdx_90B_eus-gaap--FiniteLivedIntangibleA"/>
            <w:bookmarkEnd w:id="372"/>
            <w:r>
              <w:rPr>
                <w:rFonts w:ascii="Times New Roman;Times;Serif" w:hAnsi="Times New Roman;Times;Serif"/>
                <w:b w:val="false"/>
                <w:i w:val="false"/>
                <w:caps w:val="false"/>
                <w:smallCaps w:val="false"/>
                <w:sz w:val="20"/>
              </w:rPr>
              <w:t xml:space="preserve">5,100 using the relief-from-royalty method, applying a </w:t>
            </w:r>
            <w:bookmarkStart w:id="373" w:name="xdx_90F_ecustom--RoyaltyRate_iI_pid_dp_u"/>
            <w:bookmarkEnd w:id="373"/>
            <w:r>
              <w:rPr>
                <w:rFonts w:ascii="Times New Roman;Times;Serif" w:hAnsi="Times New Roman;Times;Serif"/>
                <w:b w:val="false"/>
                <w:i w:val="false"/>
                <w:caps w:val="false"/>
                <w:smallCaps w:val="false"/>
                <w:sz w:val="20"/>
              </w:rPr>
              <w:t xml:space="preserve">1.0% royalty rate and a </w:t>
            </w:r>
            <w:bookmarkStart w:id="374" w:name="xdx_909_ecustom--DiscountRate_iI_pid_dp_"/>
            <w:bookmarkEnd w:id="374"/>
            <w:r>
              <w:rPr>
                <w:rFonts w:ascii="Times New Roman;Times;Serif" w:hAnsi="Times New Roman;Times;Serif"/>
                <w:b w:val="false"/>
                <w:i w:val="false"/>
                <w:caps w:val="false"/>
                <w:smallCaps w:val="false"/>
                <w:sz w:val="20"/>
              </w:rPr>
              <w:t xml:space="preserve">40.5% discount rate. The trade name is expected to be utilized over a </w:t>
            </w:r>
            <w:bookmarkStart w:id="375" w:name="xdx_90E_eus-gaap--FiniteLivedIntangibleA"/>
            <w:bookmarkEnd w:id="375"/>
            <w:r>
              <w:rPr>
                <w:rFonts w:ascii="Times New Roman;Times;Serif" w:hAnsi="Times New Roman;Times;Serif"/>
                <w:b w:val="false"/>
                <w:i w:val="false"/>
                <w:caps w:val="false"/>
                <w:smallCaps w:val="false"/>
                <w:sz w:val="20"/>
              </w:rPr>
              <w:t>10-year period and is amortized accordingly.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Developed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Comprised of two distinct components, both valued using the multi-period excess earnings method (MPEEM) and amortized over </w:t>
            </w:r>
            <w:bookmarkStart w:id="376" w:name="xdx_900_eus-gaap--FiniteLivedIntangibleA"/>
            <w:bookmarkEnd w:id="376"/>
            <w:r>
              <w:rPr>
                <w:rFonts w:ascii="Times New Roman;Times;Serif" w:hAnsi="Times New Roman;Times;Serif"/>
                <w:b w:val="false"/>
                <w:i w:val="false"/>
                <w:caps w:val="false"/>
                <w:smallCaps w:val="false"/>
                <w:sz w:val="20"/>
              </w:rPr>
              <w:t>8 years: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Securitization Platform: Valued at $</w:t>
            </w:r>
            <w:bookmarkStart w:id="377" w:name="xdx_909_eus-gaap--FiniteLivedIntangibleA"/>
            <w:bookmarkEnd w:id="377"/>
            <w:r>
              <w:rPr>
                <w:rFonts w:ascii="Times New Roman;Times;Serif" w:hAnsi="Times New Roman;Times;Serif"/>
                <w:b w:val="false"/>
                <w:i w:val="false"/>
                <w:caps w:val="false"/>
                <w:smallCaps w:val="false"/>
                <w:sz w:val="20"/>
              </w:rPr>
              <w:t>31,100, representing proprietary protocols and infrastructure enabling the tokenization of real-world assets and integration with decentralized finance platforms.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Integration: Valued at $</w:t>
            </w:r>
            <w:bookmarkStart w:id="378" w:name="xdx_902_eus-gaap--FiniteLivedIntangibleA"/>
            <w:bookmarkEnd w:id="378"/>
            <w:r>
              <w:rPr>
                <w:rFonts w:ascii="Times New Roman;Times;Serif" w:hAnsi="Times New Roman;Times;Serif"/>
                <w:b w:val="false"/>
                <w:i w:val="false"/>
                <w:caps w:val="false"/>
                <w:smallCaps w:val="false"/>
                <w:sz w:val="20"/>
              </w:rPr>
              <w:t>8,900, reflecting proprietary systems facilitating token creation and secondary market trading through blockchain-based platforms.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Compliance Framework: Valued at $</w:t>
            </w:r>
            <w:bookmarkStart w:id="379" w:name="xdx_902_eus-gaap--FiniteLivedIntangibleA"/>
            <w:bookmarkEnd w:id="379"/>
            <w:r>
              <w:rPr>
                <w:rFonts w:ascii="Times New Roman;Times;Serif" w:hAnsi="Times New Roman;Times;Serif"/>
                <w:b w:val="false"/>
                <w:i w:val="false"/>
                <w:caps w:val="false"/>
                <w:smallCaps w:val="false"/>
                <w:sz w:val="20"/>
              </w:rPr>
              <w:t>2,400 using the cost approach, based on the estimated cost to recreate the regulatory and legal infrastructure necessary for operations. The asset has a useful life of 7 years and is amortized accordingly. The legal and compliance framework supports the Company’s ability to operate in regulated jurisdictions and reduce legal and regulatory risk exposure.</w:t>
            </w:r>
          </w:p>
        </w:tc>
      </w:tr>
    </w:tbl>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of $</w:t>
      </w:r>
      <w:bookmarkStart w:id="380" w:name="xdx_909_eus-gaap--GoodwillAcquiredDuring"/>
      <w:bookmarkEnd w:id="380"/>
      <w:r>
        <w:rPr>
          <w:rFonts w:ascii="Times New Roman;Times;Serif" w:hAnsi="Times New Roman;Times;Serif"/>
          <w:b w:val="false"/>
          <w:i w:val="false"/>
          <w:caps w:val="false"/>
          <w:smallCaps w:val="false"/>
          <w:sz w:val="20"/>
        </w:rPr>
        <w:t>70,435 represents the excess of the purchase consideration over the fair value of net assets acquired and was recognized in connection with the acquisition. None of the goodwill is expected to be deductible for tax purposes. The goodwill is assigned to the consolidated reporting unit, as the Company operates as a single segment. The goodwill primarily represents expected synergies, assembled workforce, and future growth potential. No goodwill arose from step acquisitions or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1" w:name="xdx_80F_eus-gaap--GoodwillAndIntangibleA"/>
      <w:bookmarkEnd w:id="381"/>
      <w:r>
        <w:rPr>
          <w:rFonts w:ascii="Times New Roman;Times;Serif" w:hAnsi="Times New Roman;Times;Serif"/>
          <w:b/>
          <w:i w:val="false"/>
          <w:caps w:val="false"/>
          <w:smallCaps w:val="false"/>
          <w:sz w:val="20"/>
        </w:rPr>
        <w:t>NOTE 5</w:t>
      </w:r>
      <w:r>
        <w:rPr>
          <w:rFonts w:ascii="Times New Roman;Times;Serif" w:hAnsi="Times New Roman;Times;Serif"/>
          <w:b w:val="false"/>
          <w:i w:val="false"/>
          <w:caps w:val="false"/>
          <w:smallCaps w:val="false"/>
          <w:sz w:val="20"/>
        </w:rPr>
        <w:t xml:space="preserve"> – </w:t>
      </w:r>
      <w:bookmarkStart w:id="382" w:name="xdx_82C_zLhR7mi1H9x3"/>
      <w:bookmarkEnd w:id="382"/>
      <w:r>
        <w:rPr>
          <w:rFonts w:ascii="Times New Roman;Times;Serif" w:hAnsi="Times New Roman;Times;Serif"/>
          <w:b/>
          <w:i w:val="false"/>
          <w:caps w:val="false"/>
          <w:smallCaps w:val="false"/>
          <w:sz w:val="20"/>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3" w:name="xdx_890_eus-gaap--ScheduleOfGoodwillText"/>
      <w:bookmarkEnd w:id="383"/>
      <w:r>
        <w:rPr>
          <w:rFonts w:ascii="Times New Roman;Times;Serif" w:hAnsi="Times New Roman;Times;Serif"/>
          <w:b w:val="false"/>
          <w:i w:val="false"/>
          <w:caps w:val="false"/>
          <w:smallCaps w:val="false"/>
          <w:sz w:val="20"/>
        </w:rPr>
        <w:t>The following table shows the changes in the carrying amount of goodwill for the period:</w:t>
      </w:r>
    </w:p>
    <w:p>
      <w:pPr>
        <w:pStyle w:val="TextBody"/>
        <w:bidi w:val="0"/>
        <w:spacing w:before="0" w:after="0"/>
        <w:ind w:left="0" w:right="0" w:hanging="0"/>
        <w:jc w:val="both"/>
        <w:rPr>
          <w:caps w:val="false"/>
          <w:smallCaps w:val="false"/>
        </w:rPr>
      </w:pPr>
      <w:r>
        <w:rPr>
          <w:caps w:val="false"/>
          <w:smallCaps w:val="false"/>
        </w:rPr>
        <w:t> </w:t>
      </w:r>
      <w:bookmarkStart w:id="384" w:name="xdx_8BF_zzQ0rCCfcy89"/>
      <w:bookmarkEnd w:id="384"/>
      <w:r>
        <w:rPr>
          <w:rFonts w:ascii="Times New Roman;Times;Serif" w:hAnsi="Times New Roman;Times;Serif"/>
          <w:b w:val="false"/>
          <w:i w:val="false"/>
          <w:caps w:val="false"/>
          <w:smallCaps w:val="false"/>
          <w:sz w:val="20"/>
        </w:rPr>
        <w:t>SCHEDULE OF CARRYING AMOUNT OF GOODWILL</w:t>
      </w:r>
    </w:p>
    <w:tbl>
      <w:tblPr>
        <w:tblW w:w="4790" w:type="dxa"/>
        <w:jc w:val="left"/>
        <w:tblInd w:w="0" w:type="dxa"/>
        <w:tblLayout w:type="fixed"/>
        <w:tblCellMar>
          <w:top w:w="0" w:type="dxa"/>
          <w:left w:w="0" w:type="dxa"/>
          <w:bottom w:w="0" w:type="dxa"/>
          <w:right w:w="0" w:type="dxa"/>
        </w:tblCellMar>
      </w:tblPr>
      <w:tblGrid>
        <w:gridCol w:w="3800"/>
        <w:gridCol w:w="60"/>
        <w:gridCol w:w="140"/>
        <w:gridCol w:w="680"/>
        <w:gridCol w:w="110"/>
      </w:tblGrid>
      <w:tr>
        <w:trPr/>
        <w:tc>
          <w:tcPr>
            <w:tcW w:w="3800" w:type="dxa"/>
            <w:tcBorders/>
            <w:shd w:fill="CCEEFF" w:val="clear"/>
            <w:vAlign w:val="center"/>
          </w:tcPr>
          <w:p>
            <w:pPr>
              <w:pStyle w:val="TableContents"/>
              <w:bidi w:val="0"/>
              <w:spacing w:before="0" w:after="283"/>
              <w:jc w:val="left"/>
              <w:rPr>
                <w:b/>
              </w:rPr>
            </w:pPr>
            <w:r>
              <w:rPr>
                <w:b/>
              </w:rPr>
              <w:t>Goodwill as of December 31, 2025 (1)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85" w:name="xdx_980_eus-gaap--Goodwill_iS_pn3n3_c202"/>
            <w:bookmarkEnd w:id="385"/>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70,984</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Acquisition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6" w:name="xdx_988_eus-gaap--GoodwillAcquiredDuring"/>
            <w:bookmarkEnd w:id="386"/>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Impairment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87" w:name="xdx_98C_eus-gaap--GoodwillImpairmentLoss"/>
            <w:bookmarkEnd w:id="387"/>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88" w:name="xdx_98D_eus-gaap--ForeignCurrencyTransac"/>
            <w:bookmarkEnd w:id="388"/>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(1,226</w:t>
            </w:r>
          </w:p>
        </w:tc>
        <w:tc>
          <w:tcPr>
            <w:tcW w:w="110" w:type="dxa"/>
            <w:tcBorders/>
            <w:shd w:fill="FFFFFF" w:val="clear"/>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b/>
              </w:rPr>
            </w:pPr>
            <w:r>
              <w:rPr>
                <w:b/>
              </w:rPr>
              <w:t>Goodwill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89" w:name="xdx_985_eus-gaap--Goodwill_iE_pn3n3_c202"/>
            <w:bookmarkEnd w:id="389"/>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69,758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90" w:name="xdx_F0C_zw7ic1WJX92f"/>
            <w:bookmarkEnd w:id="390"/>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91" w:name="xdx_F10_zLirNCY2yK3j"/>
            <w:bookmarkEnd w:id="391"/>
            <w:r>
              <w:rPr>
                <w:rFonts w:ascii="Times New Roman;Times;Serif" w:hAnsi="Times New Roman;Times;Serif"/>
                <w:b w:val="false"/>
                <w:i w:val="false"/>
                <w:caps w:val="false"/>
                <w:smallCaps w:val="false"/>
                <w:sz w:val="20"/>
              </w:rPr>
              <w:t>Related to the acquisition of the Streamex Exchange. See Note 4 for more details. Goodwill was initially measured in the functional currency of Streamex Exchange and translated into U.S. dollars using the exchange rate in effect on the acquisition date. Subsequent changes in foreign exchange rates are reflected in the cumulative translation adjustment within other comprehensive loss.</w:t>
            </w:r>
          </w:p>
        </w:tc>
      </w:tr>
    </w:tbl>
    <w:p>
      <w:pPr>
        <w:pStyle w:val="TextBody"/>
        <w:bidi w:val="0"/>
        <w:spacing w:before="0" w:after="0"/>
        <w:ind w:left="0" w:right="0" w:hanging="0"/>
        <w:jc w:val="both"/>
        <w:rPr>
          <w:caps w:val="false"/>
          <w:smallCaps w:val="false"/>
        </w:rPr>
      </w:pPr>
      <w:bookmarkStart w:id="392" w:name="xdx_8A9_zZCxJXzMXEbh"/>
      <w:bookmarkEnd w:id="39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evaluated the existence of any indicators of impairment in accordance with ASC 350, Intangibles—Goodwill and Other. Based on the qualitative assessment performed, management concluded that the combination of factors considered did not result in a triggering event requiring a quantitative impairment test. Based on the assessment, there was no goodwill impairment recognized in the three months ended March 31,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of trade name, developed technology, legal and compliance framework, and patents, and are initially recorded at fair value. Long-lived intangible assets are amortized over their estimated useful lives in a method reflecting the pattern in which the economic benefits are consumed or amortized on a straight-line basis if such pattern cannot be reliably determined. The Company evaluates its finite-lived intangible assets for impairment in accordance with ASC 360-10-35 whenever events or changes in circumstances indicate that the carrying amount of an asset or asset group may not be recoverable. During the three months ended March 31, 2026, the Company evaluated whether any such triggering events existed, including consideration of changes in the business environment, market conditions, and asset utilization. Based on this assessment, management concluded that no triggering events occurred and that the carrying amounts of the Company’s finite-lived intangible assets were recoverable. Accordingly, no impairment charges were recorded for the three months ended March 31, 2026 or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3" w:name="xdx_895_eus-gaap--ScheduleOfImpairedInta"/>
      <w:bookmarkEnd w:id="393"/>
      <w:r>
        <w:rPr>
          <w:rFonts w:ascii="Times New Roman;Times;Serif" w:hAnsi="Times New Roman;Times;Serif"/>
          <w:b w:val="false"/>
          <w:i w:val="false"/>
          <w:caps w:val="false"/>
          <w:smallCaps w:val="false"/>
          <w:sz w:val="20"/>
        </w:rPr>
        <w:t>The following summarizes the Company’s intangible assets as of March 31, 2026 and December 31, 2025:</w:t>
      </w:r>
    </w:p>
    <w:p>
      <w:pPr>
        <w:pStyle w:val="TextBody"/>
        <w:bidi w:val="0"/>
        <w:spacing w:before="0" w:after="0"/>
        <w:ind w:left="0" w:right="0" w:hanging="0"/>
        <w:jc w:val="both"/>
        <w:rPr>
          <w:caps w:val="false"/>
          <w:smallCaps w:val="false"/>
        </w:rPr>
      </w:pPr>
      <w:r>
        <w:rPr>
          <w:caps w:val="false"/>
          <w:smallCaps w:val="false"/>
        </w:rPr>
        <w:t> </w:t>
      </w:r>
      <w:bookmarkStart w:id="394" w:name="xdx_8BA_zHFrpkv87p53"/>
      <w:bookmarkEnd w:id="394"/>
      <w:r>
        <w:rPr>
          <w:rFonts w:ascii="Times New Roman;Times;Serif" w:hAnsi="Times New Roman;Times;Serif"/>
          <w:b w:val="false"/>
          <w:i w:val="false"/>
          <w:caps w:val="false"/>
          <w:smallCaps w:val="false"/>
          <w:sz w:val="20"/>
        </w:rPr>
        <w:t>SCHEDULE OF INTANGIBLE ASSETS</w:t>
      </w:r>
    </w:p>
    <w:tbl>
      <w:tblPr>
        <w:tblW w:w="6578" w:type="dxa"/>
        <w:jc w:val="left"/>
        <w:tblInd w:w="0" w:type="dxa"/>
        <w:tblLayout w:type="fixed"/>
        <w:tblCellMar>
          <w:top w:w="0" w:type="dxa"/>
          <w:left w:w="0" w:type="dxa"/>
          <w:bottom w:w="0" w:type="dxa"/>
          <w:right w:w="0" w:type="dxa"/>
        </w:tblCellMar>
      </w:tblPr>
      <w:tblGrid>
        <w:gridCol w:w="3770"/>
        <w:gridCol w:w="60"/>
        <w:gridCol w:w="182"/>
        <w:gridCol w:w="887"/>
        <w:gridCol w:w="95"/>
        <w:gridCol w:w="60"/>
        <w:gridCol w:w="241"/>
        <w:gridCol w:w="1173"/>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5" w:name="xdx_49B_20260331_zlvRSRbBQYog"/>
            <w:bookmarkEnd w:id="395"/>
          </w:p>
        </w:tc>
        <w:tc>
          <w:tcPr>
            <w:tcW w:w="1069" w:type="dxa"/>
            <w:gridSpan w:val="2"/>
            <w:tcBorders/>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6" w:name="xdx_498_20251231_zHREJ85r3rd3"/>
            <w:bookmarkEnd w:id="396"/>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397" w:name="xdx_40E_eus-gaap--FiniteLivedIntangibleA"/>
            <w:bookmarkEnd w:id="397"/>
          </w:p>
        </w:tc>
      </w:tr>
      <w:tr>
        <w:trPr/>
        <w:tc>
          <w:tcPr>
            <w:tcW w:w="3770" w:type="dxa"/>
            <w:tcBorders/>
            <w:shd w:fill="CCEEFF" w:val="clear"/>
            <w:vAlign w:val="center"/>
          </w:tcPr>
          <w:p>
            <w:pPr>
              <w:pStyle w:val="TableContents"/>
              <w:bidi w:val="0"/>
              <w:spacing w:before="0" w:after="283"/>
              <w:jc w:val="left"/>
              <w:rPr/>
            </w:pPr>
            <w:r>
              <w:rPr/>
              <w:t xml:space="preserve">Trade name </w:t>
            </w:r>
            <w:bookmarkStart w:id="398" w:name="xdx_F4C_z7uatm6tnqCc"/>
            <w:bookmarkEnd w:id="398"/>
            <w:r>
              <w:rPr/>
              <w:t>(1)</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5,100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5,100</w:t>
            </w:r>
          </w:p>
        </w:tc>
        <w:tc>
          <w:tcPr>
            <w:tcW w:w="110" w:type="dxa"/>
            <w:tcBorders/>
            <w:shd w:fill="CCEEFF" w:val="clear"/>
            <w:vAlign w:val="center"/>
          </w:tcPr>
          <w:p>
            <w:pPr>
              <w:pStyle w:val="TableContents"/>
              <w:bidi w:val="0"/>
              <w:spacing w:before="0" w:after="283"/>
              <w:jc w:val="left"/>
              <w:rPr/>
            </w:pPr>
            <w:r>
              <w:rPr/>
              <w:t> </w:t>
            </w:r>
            <w:bookmarkStart w:id="399" w:name="xdx_40A_eus-gaap--FiniteLivedIntangibleA"/>
            <w:bookmarkEnd w:id="399"/>
          </w:p>
        </w:tc>
      </w:tr>
      <w:tr>
        <w:trPr/>
        <w:tc>
          <w:tcPr>
            <w:tcW w:w="3770" w:type="dxa"/>
            <w:tcBorders/>
            <w:shd w:fill="FFFFFF" w:val="clear"/>
            <w:vAlign w:val="center"/>
          </w:tcPr>
          <w:p>
            <w:pPr>
              <w:pStyle w:val="TableContents"/>
              <w:bidi w:val="0"/>
              <w:spacing w:before="0" w:after="283"/>
              <w:jc w:val="left"/>
              <w:rPr/>
            </w:pPr>
            <w:r>
              <w:rPr/>
              <w:t xml:space="preserve">Developed technology </w:t>
            </w:r>
            <w:bookmarkStart w:id="400" w:name="xdx_F4C_zCfX1OEXfWai"/>
            <w:bookmarkEnd w:id="400"/>
            <w:r>
              <w:rPr/>
              <w:t>(1)</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40,000</w:t>
            </w:r>
          </w:p>
        </w:tc>
        <w:tc>
          <w:tcPr>
            <w:tcW w:w="110" w:type="dxa"/>
            <w:tcBorders/>
            <w:shd w:fill="FFFFFF" w:val="clear"/>
            <w:vAlign w:val="center"/>
          </w:tcPr>
          <w:p>
            <w:pPr>
              <w:pStyle w:val="TableContents"/>
              <w:bidi w:val="0"/>
              <w:spacing w:before="0" w:after="283"/>
              <w:jc w:val="left"/>
              <w:rPr/>
            </w:pPr>
            <w:r>
              <w:rPr/>
              <w:t> </w:t>
            </w:r>
            <w:bookmarkStart w:id="401" w:name="xdx_404_eus-gaap--FiniteLivedIntangibleA"/>
            <w:bookmarkEnd w:id="401"/>
          </w:p>
        </w:tc>
      </w:tr>
      <w:tr>
        <w:trPr/>
        <w:tc>
          <w:tcPr>
            <w:tcW w:w="3770" w:type="dxa"/>
            <w:tcBorders/>
            <w:shd w:fill="CCEEFF" w:val="clear"/>
            <w:vAlign w:val="center"/>
          </w:tcPr>
          <w:p>
            <w:pPr>
              <w:pStyle w:val="TableContents"/>
              <w:bidi w:val="0"/>
              <w:spacing w:before="0" w:after="283"/>
              <w:jc w:val="left"/>
              <w:rPr/>
            </w:pPr>
            <w:r>
              <w:rPr/>
              <w:t xml:space="preserve">Legal and compliance framework </w:t>
            </w:r>
            <w:bookmarkStart w:id="402" w:name="xdx_F44_zAt5pmztJiU3"/>
            <w:bookmarkEnd w:id="402"/>
            <w:r>
              <w:rPr/>
              <w:t>(1)</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2,400</w:t>
            </w:r>
          </w:p>
        </w:tc>
        <w:tc>
          <w:tcPr>
            <w:tcW w:w="110" w:type="dxa"/>
            <w:tcBorders/>
            <w:shd w:fill="CCEEFF" w:val="clear"/>
            <w:vAlign w:val="center"/>
          </w:tcPr>
          <w:p>
            <w:pPr>
              <w:pStyle w:val="TableContents"/>
              <w:bidi w:val="0"/>
              <w:spacing w:before="0" w:after="283"/>
              <w:jc w:val="left"/>
              <w:rPr/>
            </w:pPr>
            <w:r>
              <w:rPr/>
              <w:t> </w:t>
            </w:r>
            <w:bookmarkStart w:id="403" w:name="xdx_402_eus-gaap--FiniteLivedIntangibleA"/>
            <w:bookmarkEnd w:id="403"/>
          </w:p>
        </w:tc>
      </w:tr>
      <w:tr>
        <w:trPr/>
        <w:tc>
          <w:tcPr>
            <w:tcW w:w="3770" w:type="dxa"/>
            <w:tcBorders/>
            <w:shd w:fill="FFFFFF" w:val="clear"/>
            <w:vAlign w:val="center"/>
          </w:tcPr>
          <w:p>
            <w:pPr>
              <w:pStyle w:val="TableContents"/>
              <w:bidi w:val="0"/>
              <w:spacing w:before="0" w:after="283"/>
              <w:jc w:val="left"/>
              <w:rPr/>
            </w:pPr>
            <w:r>
              <w:rPr/>
              <w:t>Patents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380</w:t>
            </w:r>
          </w:p>
        </w:tc>
        <w:tc>
          <w:tcPr>
            <w:tcW w:w="110" w:type="dxa"/>
            <w:tcBorders/>
            <w:shd w:fill="FFFFFF" w:val="clear"/>
            <w:vAlign w:val="center"/>
          </w:tcPr>
          <w:p>
            <w:pPr>
              <w:pStyle w:val="TableContents"/>
              <w:bidi w:val="0"/>
              <w:spacing w:before="0" w:after="283"/>
              <w:jc w:val="left"/>
              <w:rPr/>
            </w:pPr>
            <w:r>
              <w:rPr/>
              <w:t> </w:t>
            </w:r>
            <w:bookmarkStart w:id="404" w:name="xdx_403_eus-gaap--FiniteLivedIntangibleA"/>
            <w:bookmarkEnd w:id="404"/>
          </w:p>
        </w:tc>
      </w:tr>
      <w:tr>
        <w:trPr/>
        <w:tc>
          <w:tcPr>
            <w:tcW w:w="377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47,880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47,880</w:t>
            </w:r>
          </w:p>
        </w:tc>
        <w:tc>
          <w:tcPr>
            <w:tcW w:w="110" w:type="dxa"/>
            <w:tcBorders/>
            <w:shd w:fill="CCEEFF" w:val="clear"/>
            <w:vAlign w:val="center"/>
          </w:tcPr>
          <w:p>
            <w:pPr>
              <w:pStyle w:val="TableContents"/>
              <w:bidi w:val="0"/>
              <w:spacing w:before="0" w:after="283"/>
              <w:jc w:val="left"/>
              <w:rPr/>
            </w:pPr>
            <w:r>
              <w:rPr/>
              <w:t> </w:t>
            </w:r>
            <w:bookmarkStart w:id="405" w:name="xdx_40B_ecustom--FiniteLivedIntangibleAs"/>
            <w:bookmarkEnd w:id="405"/>
          </w:p>
        </w:tc>
      </w:tr>
      <w:tr>
        <w:trPr/>
        <w:tc>
          <w:tcPr>
            <w:tcW w:w="377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371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Accumulated amortization: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06" w:name="xdx_406_eus-gaap--FiniteLivedIntangibleA"/>
            <w:bookmarkEnd w:id="406"/>
          </w:p>
        </w:tc>
      </w:tr>
      <w:tr>
        <w:trPr/>
        <w:tc>
          <w:tcPr>
            <w:tcW w:w="3770"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(425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(303</w:t>
            </w:r>
          </w:p>
        </w:tc>
        <w:tc>
          <w:tcPr>
            <w:tcW w:w="110" w:type="dxa"/>
            <w:tcBorders/>
            <w:shd w:fill="FFFFFF" w:val="clear"/>
            <w:vAlign w:val="center"/>
          </w:tcPr>
          <w:p>
            <w:pPr>
              <w:pStyle w:val="TableContents"/>
              <w:bidi w:val="0"/>
              <w:spacing w:before="0" w:after="283"/>
              <w:jc w:val="left"/>
              <w:rPr/>
            </w:pPr>
            <w:r>
              <w:rPr/>
              <w:t>)</w:t>
            </w:r>
            <w:bookmarkStart w:id="407" w:name="xdx_409_eus-gaap--FiniteLivedIntangibleA"/>
            <w:bookmarkEnd w:id="407"/>
          </w:p>
        </w:tc>
      </w:tr>
      <w:tr>
        <w:trPr/>
        <w:tc>
          <w:tcPr>
            <w:tcW w:w="3770"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(2,975</w:t>
            </w:r>
          </w:p>
        </w:tc>
        <w:tc>
          <w:tcPr>
            <w:tcW w:w="110" w:type="dxa"/>
            <w:tcBorders/>
            <w:shd w:fill="CCEEFF" w:val="clear"/>
            <w:vAlign w:val="center"/>
          </w:tcPr>
          <w:p>
            <w:pPr>
              <w:pStyle w:val="TableContents"/>
              <w:bidi w:val="0"/>
              <w:spacing w:before="0" w:after="283"/>
              <w:jc w:val="left"/>
              <w:rPr/>
            </w:pPr>
            <w:r>
              <w:rPr/>
              <w:t>)</w:t>
            </w:r>
            <w:bookmarkStart w:id="408" w:name="xdx_404_eus-gaap--FiniteLivedIntangibleA"/>
            <w:bookmarkEnd w:id="408"/>
          </w:p>
        </w:tc>
      </w:tr>
      <w:tr>
        <w:trPr/>
        <w:tc>
          <w:tcPr>
            <w:tcW w:w="3770" w:type="dxa"/>
            <w:tcBorders/>
            <w:shd w:fill="FFFFFF" w:val="clear"/>
            <w:vAlign w:val="center"/>
          </w:tcPr>
          <w:p>
            <w:pPr>
              <w:pStyle w:val="TableContents"/>
              <w:bidi w:val="0"/>
              <w:spacing w:before="0" w:after="283"/>
              <w:jc w:val="left"/>
              <w:rPr/>
            </w:pPr>
            <w:r>
              <w:rPr/>
              <w:t>Legal and compliance framework</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(204</w:t>
            </w:r>
          </w:p>
        </w:tc>
        <w:tc>
          <w:tcPr>
            <w:tcW w:w="110" w:type="dxa"/>
            <w:tcBorders/>
            <w:shd w:fill="FFFFFF" w:val="clear"/>
            <w:vAlign w:val="center"/>
          </w:tcPr>
          <w:p>
            <w:pPr>
              <w:pStyle w:val="TableContents"/>
              <w:bidi w:val="0"/>
              <w:spacing w:before="0" w:after="283"/>
              <w:jc w:val="left"/>
              <w:rPr/>
            </w:pPr>
            <w:r>
              <w:rPr/>
              <w:t>)</w:t>
            </w:r>
            <w:bookmarkStart w:id="409" w:name="xdx_404_eus-gaap--FiniteLivedIntangibleA"/>
            <w:bookmarkEnd w:id="409"/>
          </w:p>
        </w:tc>
      </w:tr>
      <w:tr>
        <w:trPr/>
        <w:tc>
          <w:tcPr>
            <w:tcW w:w="377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CCEEFF" w:val="clear"/>
            <w:tcMar>
              <w:bottom w:w="28" w:type="dxa"/>
            </w:tcM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(130</w:t>
            </w:r>
          </w:p>
        </w:tc>
        <w:tc>
          <w:tcPr>
            <w:tcW w:w="110" w:type="dxa"/>
            <w:tcBorders/>
            <w:shd w:fill="CCEEFF" w:val="clear"/>
            <w:vAlign w:val="center"/>
          </w:tcPr>
          <w:p>
            <w:pPr>
              <w:pStyle w:val="TableContents"/>
              <w:bidi w:val="0"/>
              <w:spacing w:before="0" w:after="283"/>
              <w:jc w:val="left"/>
              <w:rPr/>
            </w:pPr>
            <w:r>
              <w:rPr/>
              <w:t>)</w:t>
            </w:r>
            <w:bookmarkStart w:id="410" w:name="xdx_40D_eus-gaap--FiniteLivedIntangibleA"/>
            <w:bookmarkEnd w:id="410"/>
          </w:p>
        </w:tc>
      </w:tr>
      <w:tr>
        <w:trPr/>
        <w:tc>
          <w:tcPr>
            <w:tcW w:w="3770" w:type="dxa"/>
            <w:tcBorders/>
            <w:shd w:fill="FFFFFF" w:val="clear"/>
            <w:vAlign w:val="center"/>
          </w:tcPr>
          <w:p>
            <w:pPr>
              <w:pStyle w:val="TableContents"/>
              <w:bidi w:val="0"/>
              <w:spacing w:before="0" w:after="283"/>
              <w:jc w:val="left"/>
              <w:rPr/>
            </w:pPr>
            <w:r>
              <w:rPr/>
              <w:t>Total accumulated amortization</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shd w:fill="FFFFFF" w:val="clear"/>
            <w:tcMar>
              <w:bottom w:w="28" w:type="dxa"/>
            </w:tcMar>
            <w:vAlign w:val="center"/>
          </w:tcPr>
          <w:p>
            <w:pPr>
              <w:pStyle w:val="TableContents"/>
              <w:bidi w:val="0"/>
              <w:spacing w:before="0" w:after="283"/>
              <w:jc w:val="right"/>
              <w:rPr/>
            </w:pPr>
            <w:r>
              <w:rPr/>
              <w:t>(5,006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(3,612</w:t>
            </w:r>
          </w:p>
        </w:tc>
        <w:tc>
          <w:tcPr>
            <w:tcW w:w="110" w:type="dxa"/>
            <w:tcBorders/>
            <w:shd w:fill="FFFFFF" w:val="clear"/>
            <w:vAlign w:val="center"/>
          </w:tcPr>
          <w:p>
            <w:pPr>
              <w:pStyle w:val="TableContents"/>
              <w:bidi w:val="0"/>
              <w:spacing w:before="0" w:after="283"/>
              <w:jc w:val="left"/>
              <w:rPr/>
            </w:pPr>
            <w:r>
              <w:rPr/>
              <w:t>)</w:t>
            </w:r>
            <w:bookmarkStart w:id="411" w:name="xdx_402_eus-gaap--FiniteLivedIntangibleA"/>
            <w:bookmarkEnd w:id="411"/>
          </w:p>
        </w:tc>
      </w:tr>
      <w:tr>
        <w:trPr/>
        <w:tc>
          <w:tcPr>
            <w:tcW w:w="377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42,418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44,639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2" w:name="xdx_F02_z6LRDG4lo9Me"/>
            <w:bookmarkEnd w:id="412"/>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13" w:name="xdx_F15_zKVBngO8YVZh"/>
            <w:bookmarkEnd w:id="413"/>
            <w:r>
              <w:rPr>
                <w:rFonts w:ascii="Times New Roman;Times;Serif" w:hAnsi="Times New Roman;Times;Serif"/>
                <w:b w:val="false"/>
                <w:i w:val="false"/>
                <w:caps w:val="false"/>
                <w:smallCaps w:val="false"/>
                <w:sz w:val="20"/>
              </w:rPr>
              <w:t>Intangible assets acquired in connection with the Streamex Exchange acquisition were initially measured in Canadian dollars and translated into U.S. dollars using the exchange rate in effect on the acquisition date. Subsequent changes in exchange rates are reflected in the carrying amounts presented above and recorded in other comprehensive loss as part of the cumulative translation adjustment.</w:t>
            </w:r>
          </w:p>
        </w:tc>
      </w:tr>
    </w:tbl>
    <w:p>
      <w:pPr>
        <w:pStyle w:val="TextBody"/>
        <w:bidi w:val="0"/>
        <w:spacing w:before="0" w:after="0"/>
        <w:ind w:left="0" w:right="0" w:hanging="0"/>
        <w:jc w:val="center"/>
        <w:rPr>
          <w:caps w:val="false"/>
          <w:smallCaps w:val="false"/>
        </w:rPr>
      </w:pPr>
      <w:bookmarkStart w:id="414" w:name="xdx_8AC_zWWw1Q8t87Dl"/>
      <w:bookmarkEnd w:id="4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for total intangible assets were $</w:t>
      </w:r>
      <w:bookmarkStart w:id="415" w:name="xdx_905_eus-gaap--AmortizationOfIntangib"/>
      <w:bookmarkEnd w:id="415"/>
      <w:r>
        <w:rPr>
          <w:rFonts w:ascii="Times New Roman;Times;Serif" w:hAnsi="Times New Roman;Times;Serif"/>
          <w:b w:val="false"/>
          <w:i w:val="false"/>
          <w:caps w:val="false"/>
          <w:smallCaps w:val="false"/>
          <w:sz w:val="20"/>
        </w:rPr>
        <w:t>1,479 and $</w:t>
      </w:r>
      <w:bookmarkStart w:id="416" w:name="xdx_903_eus-gaap--AmortizationOfIntangib"/>
      <w:bookmarkEnd w:id="416"/>
      <w:r>
        <w:rPr>
          <w:rFonts w:ascii="Times New Roman;Times;Serif" w:hAnsi="Times New Roman;Times;Serif"/>
          <w:b w:val="false"/>
          <w:i w:val="false"/>
          <w:caps w:val="false"/>
          <w:smallCaps w:val="false"/>
          <w:sz w:val="20"/>
        </w:rPr>
        <w:t>3 for the three months ended March 31, 2026 and 2025, respectively. Amortization expenses for trade name, developed technology, legal and compliance framework and patents was $</w:t>
      </w:r>
      <w:bookmarkStart w:id="417" w:name="xdx_90B_eus-gaap--AmortizationOfIntangib"/>
      <w:bookmarkEnd w:id="417"/>
      <w:r>
        <w:rPr>
          <w:rFonts w:ascii="Times New Roman;Times;Serif" w:hAnsi="Times New Roman;Times;Serif"/>
          <w:b w:val="false"/>
          <w:i w:val="false"/>
          <w:caps w:val="false"/>
          <w:smallCaps w:val="false"/>
          <w:sz w:val="20"/>
        </w:rPr>
        <w:t>128, $</w:t>
      </w:r>
      <w:bookmarkStart w:id="418" w:name="xdx_903_eus-gaap--AmortizationOfIntangib"/>
      <w:bookmarkEnd w:id="418"/>
      <w:r>
        <w:rPr>
          <w:rFonts w:ascii="Times New Roman;Times;Serif" w:hAnsi="Times New Roman;Times;Serif"/>
          <w:b w:val="false"/>
          <w:i w:val="false"/>
          <w:caps w:val="false"/>
          <w:smallCaps w:val="false"/>
          <w:sz w:val="20"/>
        </w:rPr>
        <w:t>1,260, $</w:t>
      </w:r>
      <w:bookmarkStart w:id="419" w:name="xdx_906_eus-gaap--AmortizationOfIntangib"/>
      <w:bookmarkEnd w:id="419"/>
      <w:r>
        <w:rPr>
          <w:rFonts w:ascii="Times New Roman;Times;Serif" w:hAnsi="Times New Roman;Times;Serif"/>
          <w:b w:val="false"/>
          <w:i w:val="false"/>
          <w:caps w:val="false"/>
          <w:smallCaps w:val="false"/>
          <w:sz w:val="20"/>
        </w:rPr>
        <w:t>86 and $</w:t>
      </w:r>
      <w:bookmarkStart w:id="420" w:name="xdx_905_eus-gaap--AmortizationOfIntangib"/>
      <w:bookmarkEnd w:id="420"/>
      <w:r>
        <w:rPr>
          <w:rFonts w:ascii="Times New Roman;Times;Serif" w:hAnsi="Times New Roman;Times;Serif"/>
          <w:b w:val="false"/>
          <w:i w:val="false"/>
          <w:caps w:val="false"/>
          <w:smallCaps w:val="false"/>
          <w:sz w:val="20"/>
        </w:rPr>
        <w:t>5, respectively, for the three months ended March 31, 2026. Amortization expenses for trade name, developed technology, legal and compliance framework and patents was $</w:t>
      </w:r>
      <w:bookmarkStart w:id="421" w:name="xdx_90A_eus-gaap--AmortizationOfIntangib"/>
      <w:bookmarkEnd w:id="421"/>
      <w:r>
        <w:rPr>
          <w:rFonts w:ascii="Times New Roman;Times;Serif" w:hAnsi="Times New Roman;Times;Serif"/>
          <w:b w:val="false"/>
          <w:i w:val="false"/>
          <w:caps w:val="false"/>
          <w:smallCaps w:val="false"/>
          <w:sz w:val="20"/>
        </w:rPr>
        <w:t>0, $</w:t>
      </w:r>
      <w:bookmarkStart w:id="422" w:name="xdx_90F_eus-gaap--AmortizationOfIntangib"/>
      <w:bookmarkEnd w:id="422"/>
      <w:r>
        <w:rPr>
          <w:rFonts w:ascii="Times New Roman;Times;Serif" w:hAnsi="Times New Roman;Times;Serif"/>
          <w:b w:val="false"/>
          <w:i w:val="false"/>
          <w:caps w:val="false"/>
          <w:smallCaps w:val="false"/>
          <w:sz w:val="20"/>
        </w:rPr>
        <w:t>0, $</w:t>
      </w:r>
      <w:bookmarkStart w:id="423" w:name="xdx_905_eus-gaap--AmortizationOfIntangib"/>
      <w:bookmarkEnd w:id="423"/>
      <w:r>
        <w:rPr>
          <w:rFonts w:ascii="Times New Roman;Times;Serif" w:hAnsi="Times New Roman;Times;Serif"/>
          <w:b w:val="false"/>
          <w:i w:val="false"/>
          <w:caps w:val="false"/>
          <w:smallCaps w:val="false"/>
          <w:sz w:val="20"/>
        </w:rPr>
        <w:t>0 and $</w:t>
      </w:r>
      <w:bookmarkStart w:id="424" w:name="xdx_90A_eus-gaap--AmortizationOfIntangib"/>
      <w:bookmarkEnd w:id="424"/>
      <w:r>
        <w:rPr>
          <w:rFonts w:ascii="Times New Roman;Times;Serif" w:hAnsi="Times New Roman;Times;Serif"/>
          <w:b w:val="false"/>
          <w:i w:val="false"/>
          <w:caps w:val="false"/>
          <w:smallCaps w:val="false"/>
          <w:sz w:val="20"/>
        </w:rPr>
        <w:t xml:space="preserve">3, respectively, for the three months ended March 31, 2025. The weighted-average useful lives of total intangibles, trade name, developed technology, legal and compliance framework and patents were </w:t>
      </w:r>
      <w:bookmarkStart w:id="425" w:name="xdx_90B_eus-gaap--FiniteLivedIntangibleA"/>
      <w:bookmarkEnd w:id="425"/>
      <w:r>
        <w:rPr>
          <w:rFonts w:ascii="Times New Roman;Times;Serif" w:hAnsi="Times New Roman;Times;Serif"/>
          <w:b w:val="false"/>
          <w:i w:val="false"/>
          <w:caps w:val="false"/>
          <w:smallCaps w:val="false"/>
          <w:sz w:val="20"/>
        </w:rPr>
        <w:t xml:space="preserve">7.4 years, </w:t>
      </w:r>
      <w:bookmarkStart w:id="426" w:name="xdx_904_eus-gaap--FiniteLivedIntangibleA"/>
      <w:bookmarkEnd w:id="426"/>
      <w:r>
        <w:rPr>
          <w:rFonts w:ascii="Times New Roman;Times;Serif" w:hAnsi="Times New Roman;Times;Serif"/>
          <w:b w:val="false"/>
          <w:i w:val="false"/>
          <w:caps w:val="false"/>
          <w:smallCaps w:val="false"/>
          <w:sz w:val="20"/>
        </w:rPr>
        <w:t xml:space="preserve">9.2 years, </w:t>
      </w:r>
      <w:bookmarkStart w:id="427" w:name="xdx_908_eus-gaap--FiniteLivedIntangibleA"/>
      <w:bookmarkEnd w:id="427"/>
      <w:r>
        <w:rPr>
          <w:rFonts w:ascii="Times New Roman;Times;Serif" w:hAnsi="Times New Roman;Times;Serif"/>
          <w:b w:val="false"/>
          <w:i w:val="false"/>
          <w:caps w:val="false"/>
          <w:smallCaps w:val="false"/>
          <w:sz w:val="20"/>
        </w:rPr>
        <w:t xml:space="preserve">7.2 years, </w:t>
      </w:r>
      <w:bookmarkStart w:id="428" w:name="xdx_909_eus-gaap--FiniteLivedIntangibleA"/>
      <w:bookmarkEnd w:id="428"/>
      <w:r>
        <w:rPr>
          <w:rFonts w:ascii="Times New Roman;Times;Serif" w:hAnsi="Times New Roman;Times;Serif"/>
          <w:b w:val="false"/>
          <w:i w:val="false"/>
          <w:caps w:val="false"/>
          <w:smallCaps w:val="false"/>
          <w:sz w:val="20"/>
        </w:rPr>
        <w:t xml:space="preserve">6.2 years and </w:t>
      </w:r>
      <w:bookmarkStart w:id="429" w:name="xdx_909_eus-gaap--FiniteLivedIntangibleA"/>
      <w:bookmarkEnd w:id="429"/>
      <w:r>
        <w:rPr>
          <w:rFonts w:ascii="Times New Roman;Times;Serif" w:hAnsi="Times New Roman;Times;Serif"/>
          <w:b w:val="false"/>
          <w:i w:val="false"/>
          <w:caps w:val="false"/>
          <w:smallCaps w:val="false"/>
          <w:sz w:val="20"/>
        </w:rPr>
        <w:t>13.5 years, respectively,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0" w:name="xdx_892_eus-gaap--ScheduleofFiniteLivedI"/>
      <w:bookmarkEnd w:id="430"/>
      <w:r>
        <w:rPr>
          <w:rFonts w:ascii="Times New Roman;Times;Serif" w:hAnsi="Times New Roman;Times;Serif"/>
          <w:b w:val="false"/>
          <w:i w:val="false"/>
          <w:caps w:val="false"/>
          <w:smallCaps w:val="false"/>
          <w:sz w:val="20"/>
        </w:rPr>
        <w:t>Expected future amortization expense of intangible assets as of March 31, 2026, is as follows:</w:t>
      </w:r>
    </w:p>
    <w:p>
      <w:pPr>
        <w:pStyle w:val="TextBody"/>
        <w:bidi w:val="0"/>
        <w:spacing w:before="0" w:after="0"/>
        <w:ind w:left="0" w:right="0" w:hanging="0"/>
        <w:jc w:val="both"/>
        <w:rPr>
          <w:caps w:val="false"/>
          <w:smallCaps w:val="false"/>
        </w:rPr>
      </w:pPr>
      <w:r>
        <w:rPr>
          <w:caps w:val="false"/>
          <w:smallCaps w:val="false"/>
        </w:rPr>
        <w:t> </w:t>
      </w:r>
      <w:bookmarkStart w:id="431" w:name="xdx_8B9_z8CP0ecP3tjf"/>
      <w:bookmarkEnd w:id="431"/>
      <w:r>
        <w:rPr>
          <w:rFonts w:ascii="Times New Roman;Times;Serif" w:hAnsi="Times New Roman;Times;Serif"/>
          <w:b w:val="false"/>
          <w:i w:val="false"/>
          <w:caps w:val="false"/>
          <w:smallCaps w:val="false"/>
          <w:sz w:val="20"/>
        </w:rPr>
        <w:t>SCHEDULE OF FUTURE AMORTIZATION EXPENSE OF INTANGIBLE ASSETS</w:t>
      </w:r>
    </w:p>
    <w:tbl>
      <w:tblPr>
        <w:tblW w:w="2565" w:type="dxa"/>
        <w:jc w:val="left"/>
        <w:tblInd w:w="0" w:type="dxa"/>
        <w:tblLayout w:type="fixed"/>
        <w:tblCellMar>
          <w:top w:w="0" w:type="dxa"/>
          <w:left w:w="0" w:type="dxa"/>
          <w:bottom w:w="0" w:type="dxa"/>
          <w:right w:w="0" w:type="dxa"/>
        </w:tblCellMar>
      </w:tblPr>
      <w:tblGrid>
        <w:gridCol w:w="1610"/>
        <w:gridCol w:w="60"/>
        <w:gridCol w:w="140"/>
        <w:gridCol w:w="680"/>
        <w:gridCol w:w="75"/>
      </w:tblGrid>
      <w:tr>
        <w:trPr/>
        <w:tc>
          <w:tcPr>
            <w:tcW w:w="1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32" w:name="xdx_49B_20260331_zDWENRtqbEB8"/>
            <w:bookmarkEnd w:id="432"/>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33" w:name="xdx_40F_eus-gaap--FiniteLivedIntangibleA"/>
            <w:bookmarkEnd w:id="433"/>
          </w:p>
        </w:tc>
      </w:tr>
      <w:tr>
        <w:trPr/>
        <w:tc>
          <w:tcPr>
            <w:tcW w:w="1610" w:type="dxa"/>
            <w:tcBorders/>
            <w:shd w:fill="CCEEFF" w:val="clear"/>
            <w:vAlign w:val="center"/>
          </w:tcPr>
          <w:p>
            <w:pPr>
              <w:pStyle w:val="TableContents"/>
              <w:bidi w:val="0"/>
              <w:spacing w:before="0" w:after="283"/>
              <w:jc w:val="left"/>
              <w:rPr/>
            </w:pPr>
            <w:r>
              <w:rPr/>
              <w:t>Remainder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4,362</w:t>
            </w:r>
          </w:p>
        </w:tc>
        <w:tc>
          <w:tcPr>
            <w:tcW w:w="75" w:type="dxa"/>
            <w:tcBorders/>
            <w:shd w:fill="CCEEFF" w:val="clear"/>
            <w:vAlign w:val="center"/>
          </w:tcPr>
          <w:p>
            <w:pPr>
              <w:pStyle w:val="TableContents"/>
              <w:bidi w:val="0"/>
              <w:spacing w:before="0" w:after="283"/>
              <w:jc w:val="left"/>
              <w:rPr/>
            </w:pPr>
            <w:r>
              <w:rPr/>
              <w:t> </w:t>
            </w:r>
            <w:bookmarkStart w:id="434" w:name="xdx_407_eus-gaap--FiniteLivedIntangibleA"/>
            <w:bookmarkEnd w:id="434"/>
          </w:p>
        </w:tc>
      </w:tr>
      <w:tr>
        <w:trPr/>
        <w:tc>
          <w:tcPr>
            <w:tcW w:w="161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5,816</w:t>
            </w:r>
          </w:p>
        </w:tc>
        <w:tc>
          <w:tcPr>
            <w:tcW w:w="75" w:type="dxa"/>
            <w:tcBorders/>
            <w:shd w:fill="FFFFFF" w:val="clear"/>
            <w:vAlign w:val="center"/>
          </w:tcPr>
          <w:p>
            <w:pPr>
              <w:pStyle w:val="TableContents"/>
              <w:bidi w:val="0"/>
              <w:spacing w:before="0" w:after="283"/>
              <w:jc w:val="left"/>
              <w:rPr/>
            </w:pPr>
            <w:r>
              <w:rPr/>
              <w:t> </w:t>
            </w:r>
            <w:bookmarkStart w:id="435" w:name="xdx_407_eus-gaap--FiniteLivedIntangibleA"/>
            <w:bookmarkEnd w:id="435"/>
          </w:p>
        </w:tc>
      </w:tr>
      <w:tr>
        <w:trPr/>
        <w:tc>
          <w:tcPr>
            <w:tcW w:w="161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5,816</w:t>
            </w:r>
          </w:p>
        </w:tc>
        <w:tc>
          <w:tcPr>
            <w:tcW w:w="75" w:type="dxa"/>
            <w:tcBorders/>
            <w:shd w:fill="CCEEFF" w:val="clear"/>
            <w:vAlign w:val="center"/>
          </w:tcPr>
          <w:p>
            <w:pPr>
              <w:pStyle w:val="TableContents"/>
              <w:bidi w:val="0"/>
              <w:spacing w:before="0" w:after="283"/>
              <w:jc w:val="left"/>
              <w:rPr/>
            </w:pPr>
            <w:r>
              <w:rPr/>
              <w:t> </w:t>
            </w:r>
            <w:bookmarkStart w:id="436" w:name="xdx_404_eus-gaap--FiniteLivedIntangibleA"/>
            <w:bookmarkEnd w:id="436"/>
          </w:p>
        </w:tc>
      </w:tr>
      <w:tr>
        <w:trPr/>
        <w:tc>
          <w:tcPr>
            <w:tcW w:w="1610"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5,816</w:t>
            </w:r>
          </w:p>
        </w:tc>
        <w:tc>
          <w:tcPr>
            <w:tcW w:w="75" w:type="dxa"/>
            <w:tcBorders/>
            <w:shd w:fill="FFFFFF" w:val="clear"/>
            <w:vAlign w:val="center"/>
          </w:tcPr>
          <w:p>
            <w:pPr>
              <w:pStyle w:val="TableContents"/>
              <w:bidi w:val="0"/>
              <w:spacing w:before="0" w:after="283"/>
              <w:jc w:val="left"/>
              <w:rPr/>
            </w:pPr>
            <w:r>
              <w:rPr/>
              <w:t> </w:t>
            </w:r>
            <w:bookmarkStart w:id="437" w:name="xdx_403_eus-gaap--FiniteLivedIntangibleA"/>
            <w:bookmarkEnd w:id="437"/>
          </w:p>
        </w:tc>
      </w:tr>
      <w:tr>
        <w:trPr/>
        <w:tc>
          <w:tcPr>
            <w:tcW w:w="1610"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5,816</w:t>
            </w:r>
          </w:p>
        </w:tc>
        <w:tc>
          <w:tcPr>
            <w:tcW w:w="75" w:type="dxa"/>
            <w:tcBorders/>
            <w:shd w:fill="CCEEFF" w:val="clear"/>
            <w:vAlign w:val="center"/>
          </w:tcPr>
          <w:p>
            <w:pPr>
              <w:pStyle w:val="TableContents"/>
              <w:bidi w:val="0"/>
              <w:spacing w:before="0" w:after="283"/>
              <w:jc w:val="left"/>
              <w:rPr/>
            </w:pPr>
            <w:r>
              <w:rPr/>
              <w:t> </w:t>
            </w:r>
            <w:bookmarkStart w:id="438" w:name="xdx_407_ecustom--FiniteLivedIntangibleAs"/>
            <w:bookmarkEnd w:id="438"/>
          </w:p>
        </w:tc>
      </w:tr>
      <w:tr>
        <w:trPr/>
        <w:tc>
          <w:tcPr>
            <w:tcW w:w="161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14,792</w:t>
            </w:r>
          </w:p>
        </w:tc>
        <w:tc>
          <w:tcPr>
            <w:tcW w:w="75" w:type="dxa"/>
            <w:tcBorders/>
            <w:shd w:fill="FFFFFF" w:val="clear"/>
            <w:vAlign w:val="center"/>
          </w:tcPr>
          <w:p>
            <w:pPr>
              <w:pStyle w:val="TableContents"/>
              <w:bidi w:val="0"/>
              <w:spacing w:before="0" w:after="283"/>
              <w:jc w:val="left"/>
              <w:rPr/>
            </w:pPr>
            <w:r>
              <w:rPr/>
              <w:t> </w:t>
            </w:r>
            <w:bookmarkStart w:id="439" w:name="xdx_405_eus-gaap--FiniteLivedIntangibleA"/>
            <w:bookmarkEnd w:id="439"/>
          </w:p>
        </w:tc>
      </w:tr>
      <w:tr>
        <w:trPr/>
        <w:tc>
          <w:tcPr>
            <w:tcW w:w="161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42,418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0" w:name="xdx_8AA_z4TBgU5cjyVd"/>
      <w:bookmarkEnd w:id="44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1" w:name="xdx_802_eus-gaap--PropertyPlantAndEquipm"/>
      <w:bookmarkEnd w:id="441"/>
      <w:r>
        <w:rPr>
          <w:rFonts w:ascii="Times New Roman;Times;Serif" w:hAnsi="Times New Roman;Times;Serif"/>
          <w:b/>
          <w:i w:val="false"/>
          <w:caps w:val="false"/>
          <w:smallCaps w:val="false"/>
          <w:sz w:val="20"/>
        </w:rPr>
        <w:t>NOTE 6</w:t>
      </w:r>
      <w:r>
        <w:rPr>
          <w:rFonts w:ascii="Times New Roman;Times;Serif" w:hAnsi="Times New Roman;Times;Serif"/>
          <w:b w:val="false"/>
          <w:i w:val="false"/>
          <w:caps w:val="false"/>
          <w:smallCaps w:val="false"/>
          <w:sz w:val="20"/>
        </w:rPr>
        <w:t xml:space="preserve"> – </w:t>
      </w:r>
      <w:bookmarkStart w:id="442" w:name="xdx_82D_zTjq4MfCwjHi"/>
      <w:bookmarkEnd w:id="442"/>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3" w:name="xdx_897_eus-gaap--PropertyPlantAndEquipm"/>
      <w:bookmarkEnd w:id="443"/>
      <w:r>
        <w:rPr>
          <w:rFonts w:ascii="Times New Roman;Times;Serif" w:hAnsi="Times New Roman;Times;Serif"/>
          <w:b w:val="false"/>
          <w:i w:val="false"/>
          <w:caps w:val="false"/>
          <w:smallCaps w:val="false"/>
          <w:sz w:val="20"/>
        </w:rPr>
        <w:t>Property and equipment as of March 31, 2026, and December 31, 2025 is summarized as follows:</w:t>
      </w:r>
    </w:p>
    <w:p>
      <w:pPr>
        <w:pStyle w:val="TextBody"/>
        <w:bidi w:val="0"/>
        <w:spacing w:before="0" w:after="0"/>
        <w:ind w:left="0" w:right="0" w:hanging="0"/>
        <w:jc w:val="both"/>
        <w:rPr>
          <w:caps w:val="false"/>
          <w:smallCaps w:val="false"/>
        </w:rPr>
      </w:pPr>
      <w:r>
        <w:rPr>
          <w:caps w:val="false"/>
          <w:smallCaps w:val="false"/>
        </w:rPr>
        <w:t> </w:t>
      </w:r>
      <w:bookmarkStart w:id="444" w:name="xdx_8BA_zOLaQHA2sU12"/>
      <w:bookmarkEnd w:id="444"/>
      <w:r>
        <w:rPr>
          <w:rFonts w:ascii="Times New Roman;Times;Serif" w:hAnsi="Times New Roman;Times;Serif"/>
          <w:b w:val="false"/>
          <w:i w:val="false"/>
          <w:caps w:val="false"/>
          <w:smallCaps w:val="false"/>
          <w:sz w:val="20"/>
        </w:rPr>
        <w:t>SCHEDULE OF PROPERTY AND EQUIPMENT</w:t>
      </w:r>
    </w:p>
    <w:tbl>
      <w:tblPr>
        <w:tblW w:w="4898" w:type="dxa"/>
        <w:jc w:val="left"/>
        <w:tblInd w:w="0" w:type="dxa"/>
        <w:tblLayout w:type="fixed"/>
        <w:tblCellMar>
          <w:top w:w="0" w:type="dxa"/>
          <w:left w:w="0" w:type="dxa"/>
          <w:bottom w:w="0" w:type="dxa"/>
          <w:right w:w="0" w:type="dxa"/>
        </w:tblCellMar>
      </w:tblPr>
      <w:tblGrid>
        <w:gridCol w:w="2540"/>
        <w:gridCol w:w="60"/>
        <w:gridCol w:w="166"/>
        <w:gridCol w:w="723"/>
        <w:gridCol w:w="80"/>
        <w:gridCol w:w="60"/>
        <w:gridCol w:w="218"/>
        <w:gridCol w:w="956"/>
        <w:gridCol w:w="95"/>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45" w:name="xdx_499_20260331_zm65YTUuCqLl"/>
            <w:bookmarkEnd w:id="445"/>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446" w:name="xdx_495_20251231_zTimaUi7BmWh"/>
            <w:bookmarkEnd w:id="446"/>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447" w:name="xdx_400_eus-gaap--PropertyPlantAndEquipm"/>
            <w:bookmarkEnd w:id="447"/>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8" w:name="xdx_408_eus-gaap--PropertyPlantAndEquipm"/>
            <w:bookmarkEnd w:id="448"/>
          </w:p>
        </w:tc>
      </w:tr>
      <w:tr>
        <w:trPr/>
        <w:tc>
          <w:tcPr>
            <w:tcW w:w="2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9" w:name="xdx_407_eus-gaap--PropertyPlantAndEquipm"/>
            <w:bookmarkEnd w:id="449"/>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Testing/Demo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0" w:name="xdx_404_eus-gaap--PropertyPlantAndEquipm"/>
            <w:bookmarkEnd w:id="450"/>
          </w:p>
        </w:tc>
      </w:tr>
      <w:tr>
        <w:trPr/>
        <w:tc>
          <w:tcPr>
            <w:tcW w:w="2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51" w:name="xdx_409_eus-gaap--PropertyPlantAndEquipm"/>
            <w:bookmarkEnd w:id="451"/>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52" w:name="xdx_402_eus-gaap--AccumulatedDepreciatio"/>
            <w:bookmarkEnd w:id="452"/>
          </w:p>
        </w:tc>
      </w:tr>
      <w:tr>
        <w:trPr/>
        <w:tc>
          <w:tcPr>
            <w:tcW w:w="25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3" w:name="xdx_407_eus-gaap--PropertyPlantAndEquipm"/>
            <w:bookmarkEnd w:id="453"/>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454" w:name="xdx_8AF_zvJEOPtbBooc"/>
      <w:bookmarkEnd w:id="45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evaluated whether any events or changes in circumstances indicated that the carrying amounts of its property and equipment may not be recoverable. Based on this assessment, no impairment indicators were identified and no impairment charges were recorded during the three months ended March 31, 2026 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were $</w:t>
      </w:r>
      <w:bookmarkStart w:id="455" w:name="xdx_906_eus-gaap--Depreciation_pn3n3_c20"/>
      <w:bookmarkEnd w:id="455"/>
      <w:r>
        <w:rPr>
          <w:rFonts w:ascii="Times New Roman;Times;Serif" w:hAnsi="Times New Roman;Times;Serif"/>
          <w:b w:val="false"/>
          <w:i w:val="false"/>
          <w:caps w:val="false"/>
          <w:smallCaps w:val="false"/>
          <w:sz w:val="20"/>
        </w:rPr>
        <w:t>13 and $</w:t>
      </w:r>
      <w:bookmarkStart w:id="456" w:name="xdx_909_eus-gaap--Depreciation_pn3n3_c20"/>
      <w:bookmarkEnd w:id="456"/>
      <w:r>
        <w:rPr>
          <w:rFonts w:ascii="Times New Roman;Times;Serif" w:hAnsi="Times New Roman;Times;Serif"/>
          <w:b w:val="false"/>
          <w:i w:val="false"/>
          <w:caps w:val="false"/>
          <w:smallCaps w:val="false"/>
          <w:sz w:val="20"/>
        </w:rPr>
        <w:t>18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7" w:name="xdx_80D_eus-gaap--MarketableSecuritiesTe"/>
      <w:bookmarkEnd w:id="457"/>
      <w:r>
        <w:rPr>
          <w:rFonts w:ascii="Times New Roman;Times;Serif" w:hAnsi="Times New Roman;Times;Serif"/>
          <w:b/>
          <w:i w:val="false"/>
          <w:caps w:val="false"/>
          <w:smallCaps w:val="false"/>
          <w:sz w:val="20"/>
        </w:rPr>
        <w:t xml:space="preserve">NOTE 7 – </w:t>
      </w:r>
      <w:bookmarkStart w:id="458" w:name="xdx_82A_zdSVeHM4Glid"/>
      <w:bookmarkEnd w:id="458"/>
      <w:r>
        <w:rPr>
          <w:rFonts w:ascii="Times New Roman;Times;Serif" w:hAnsi="Times New Roman;Times;Serif"/>
          <w:b/>
          <w:i w:val="false"/>
          <w:caps w:val="false"/>
          <w:smallCaps w:val="false"/>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marketable securities consist of exchange-traded funds (“ETFs”) holding short-term U.S. Treasury securities and investment-grade corporate debt instruments. As of March 31, 2026, the portfolio was composed of four ETFs: iShares 0-3 Month Treasury Bond ETF (SGOV), SPDR Portfolio Short-Term Treasury ETF (SPTS), Vanguard Short-Term Treasury Index ETF (VGSH), and Vanguard Short-Term Corporate Bond ETF (VCSH), each representing approximately </w:t>
      </w:r>
      <w:bookmarkStart w:id="459" w:name="xdx_90E_ecustom--EquityMethodInvestmentO"/>
      <w:bookmarkEnd w:id="459"/>
      <w:r>
        <w:rPr>
          <w:rFonts w:ascii="Times New Roman;Times;Serif" w:hAnsi="Times New Roman;Times;Serif"/>
          <w:b w:val="false"/>
          <w:i w:val="false"/>
          <w:caps w:val="false"/>
          <w:smallCaps w:val="false"/>
          <w:sz w:val="20"/>
        </w:rPr>
        <w:t>25% of the total portfolio. These securities are held in a brokerage account and are classified as equity securities measured at fair value with changes in fair value recognized in earnings, in accordance with ASC 321, Investments —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determined using quoted market prices in active markets and, accordingly, all marketable securities are classified within Level 1 of the ASC 820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purchased approximately $</w:t>
      </w:r>
      <w:bookmarkStart w:id="460" w:name="xdx_902_eus-gaap--MarketableSecurities_i"/>
      <w:bookmarkEnd w:id="460"/>
      <w:r>
        <w:rPr>
          <w:rFonts w:ascii="Times New Roman;Times;Serif" w:hAnsi="Times New Roman;Times;Serif"/>
          <w:b w:val="false"/>
          <w:i w:val="false"/>
          <w:caps w:val="false"/>
          <w:smallCaps w:val="false"/>
          <w:sz w:val="20"/>
        </w:rPr>
        <w:t>23,900 of marketable securities on February 26, 2026. No ETF securities were sold during the period; therefore, no realized gains or losses were recognized. As of March 31, 2026, the aggregate fair value of the ETF portfolio was approximately $</w:t>
      </w:r>
      <w:bookmarkStart w:id="461" w:name="xdx_904_eus-gaap--MarketableSecurities_i"/>
      <w:bookmarkEnd w:id="461"/>
      <w:r>
        <w:rPr>
          <w:rFonts w:ascii="Times New Roman;Times;Serif" w:hAnsi="Times New Roman;Times;Serif"/>
          <w:b w:val="false"/>
          <w:i w:val="false"/>
          <w:caps w:val="false"/>
          <w:smallCaps w:val="false"/>
          <w:sz w:val="20"/>
        </w:rPr>
        <w:t>23,766 against a cost basis of $</w:t>
      </w:r>
      <w:bookmarkStart w:id="462" w:name="xdx_90C_ecustom--MarketableSecuritiesRea"/>
      <w:bookmarkEnd w:id="462"/>
      <w:r>
        <w:rPr>
          <w:rFonts w:ascii="Times New Roman;Times;Serif" w:hAnsi="Times New Roman;Times;Serif"/>
          <w:b w:val="false"/>
          <w:i w:val="false"/>
          <w:caps w:val="false"/>
          <w:smallCaps w:val="false"/>
          <w:sz w:val="20"/>
        </w:rPr>
        <w:t>23,900, resulting in a net unrealized loss of approximately $</w:t>
      </w:r>
      <w:bookmarkStart w:id="463" w:name="xdx_902_ecustom--UnrealizedLoss_pn3n3_c2"/>
      <w:bookmarkEnd w:id="463"/>
      <w:r>
        <w:rPr>
          <w:rFonts w:ascii="Times New Roman;Times;Serif" w:hAnsi="Times New Roman;Times;Serif"/>
          <w:b w:val="false"/>
          <w:i w:val="false"/>
          <w:caps w:val="false"/>
          <w:smallCaps w:val="false"/>
          <w:sz w:val="20"/>
        </w:rPr>
        <w:t>(134), which related entirely to equity securities still held as of March 31, 2026 and is included in “Change in fair value of marketable securities” in the unaudited condensed consolidated statements of operations. No impairment charges were recognized during the period. During the three months ended March 31, 2026, the Company earned dividend income and interest income on sweep balances totaling approximately $</w:t>
      </w:r>
      <w:bookmarkStart w:id="464" w:name="xdx_903_eus-gaap--OtherInterestAndDivide"/>
      <w:bookmarkEnd w:id="464"/>
      <w:r>
        <w:rPr>
          <w:rFonts w:ascii="Times New Roman;Times;Serif" w:hAnsi="Times New Roman;Times;Serif"/>
          <w:b w:val="false"/>
          <w:i w:val="false"/>
          <w:caps w:val="false"/>
          <w:smallCaps w:val="false"/>
          <w:sz w:val="20"/>
        </w:rPr>
        <w:t>71, which is included in “Other income (expense), net”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held no ETF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Empress Royalty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9, 2025, the Company entered into a share purchase agreement with Terra Capital Natural Resources Fund Pty Ltd to acquire </w:t>
      </w:r>
      <w:bookmarkStart w:id="465" w:name="xdx_90C_eus-gaap--StockIssuedDuringPerio"/>
      <w:bookmarkEnd w:id="465"/>
      <w:r>
        <w:rPr>
          <w:rFonts w:ascii="Times New Roman;Times;Serif" w:hAnsi="Times New Roman;Times;Serif"/>
          <w:b w:val="false"/>
          <w:i w:val="false"/>
          <w:caps w:val="false"/>
          <w:smallCaps w:val="false"/>
          <w:sz w:val="20"/>
        </w:rPr>
        <w:t xml:space="preserve">12,671,297 common shares of Empress Royalty Corp. (“Empress”), representing approximately </w:t>
      </w:r>
      <w:bookmarkStart w:id="466" w:name="xdx_909_ecustom--EquityMethodInvestmentO"/>
      <w:bookmarkEnd w:id="466"/>
      <w:r>
        <w:rPr>
          <w:rFonts w:ascii="Times New Roman;Times;Serif" w:hAnsi="Times New Roman;Times;Serif"/>
          <w:b w:val="false"/>
          <w:i w:val="false"/>
          <w:caps w:val="false"/>
          <w:smallCaps w:val="false"/>
          <w:sz w:val="20"/>
        </w:rPr>
        <w:t>9.9% of Empress’s outstanding common shares. Empress is listed on the TSX Venture Exchange and OTCQX.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consideration, the Company issued </w:t>
      </w:r>
      <w:bookmarkStart w:id="467" w:name="xdx_907_eus-gaap--StockIssuedDuringPerio"/>
      <w:bookmarkEnd w:id="467"/>
      <w:r>
        <w:rPr>
          <w:rFonts w:ascii="Times New Roman;Times;Serif" w:hAnsi="Times New Roman;Times;Serif"/>
          <w:b w:val="false"/>
          <w:i w:val="false"/>
          <w:caps w:val="false"/>
          <w:smallCaps w:val="false"/>
          <w:sz w:val="20"/>
        </w:rPr>
        <w:t>2,443,750 restricted shares of its common stock on December 12, 2025, the date ownership transferred. The investment was initially recognized at $</w:t>
      </w:r>
      <w:bookmarkStart w:id="468" w:name="xdx_903_eus-gaap--Investments_iI_pn3n3_c"/>
      <w:bookmarkEnd w:id="468"/>
      <w:r>
        <w:rPr>
          <w:rFonts w:ascii="Times New Roman;Times;Serif" w:hAnsi="Times New Roman;Times;Serif"/>
          <w:b w:val="false"/>
          <w:i w:val="false"/>
          <w:caps w:val="false"/>
          <w:smallCaps w:val="false"/>
          <w:sz w:val="20"/>
        </w:rPr>
        <w:t xml:space="preserve">10,533, based on the fair value of </w:t>
      </w:r>
      <w:bookmarkStart w:id="469" w:name="xdx_90F_eus-gaap--StockIssuedDuringPerio"/>
      <w:bookmarkEnd w:id="469"/>
      <w:r>
        <w:rPr>
          <w:rFonts w:ascii="Times New Roman;Times;Serif" w:hAnsi="Times New Roman;Times;Serif"/>
          <w:b w:val="false"/>
          <w:i w:val="false"/>
          <w:caps w:val="false"/>
          <w:smallCaps w:val="false"/>
          <w:sz w:val="20"/>
        </w:rPr>
        <w:t>2,443,750 Streamex shares issued at $</w:t>
      </w:r>
      <w:bookmarkStart w:id="470" w:name="xdx_90F_eus-gaap--SharePrice_iI_pid_c202"/>
      <w:bookmarkEnd w:id="470"/>
      <w:r>
        <w:rPr>
          <w:rFonts w:ascii="Times New Roman;Times;Serif" w:hAnsi="Times New Roman;Times;Serif"/>
          <w:b w:val="false"/>
          <w:i w:val="false"/>
          <w:caps w:val="false"/>
          <w:smallCaps w:val="false"/>
          <w:sz w:val="20"/>
        </w:rPr>
        <w:t>4.31 per share on December 12, 2025. The Company does not have significant influence over Empress.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fair value of the Empress investment was approximately $</w:t>
      </w:r>
      <w:bookmarkStart w:id="471" w:name="xdx_908_eus-gaap--InvestmentOwnedAtFairV"/>
      <w:bookmarkEnd w:id="471"/>
      <w:r>
        <w:rPr>
          <w:rFonts w:ascii="Times New Roman;Times;Serif" w:hAnsi="Times New Roman;Times;Serif"/>
          <w:b w:val="false"/>
          <w:i w:val="false"/>
          <w:caps w:val="false"/>
          <w:smallCaps w:val="false"/>
          <w:sz w:val="20"/>
        </w:rPr>
        <w:t>9,706, with the resulting unrealized loss of $</w:t>
      </w:r>
      <w:bookmarkStart w:id="472" w:name="xdx_901_eus-gaap--UnrealizedGainLossOnIn"/>
      <w:bookmarkEnd w:id="472"/>
      <w:r>
        <w:rPr>
          <w:rFonts w:ascii="Times New Roman;Times;Serif" w:hAnsi="Times New Roman;Times;Serif"/>
          <w:b w:val="false"/>
          <w:i w:val="false"/>
          <w:caps w:val="false"/>
          <w:smallCaps w:val="false"/>
          <w:sz w:val="20"/>
        </w:rPr>
        <w:t>(827) recognized in earnings during the year ended December 31, 2025. In January 2026, the Company sold all of its shares in Empress Royalty Corp. for gross proceeds of approximately $</w:t>
      </w:r>
      <w:bookmarkStart w:id="473" w:name="xdx_902_eus-gaap--ProceedsFromSaleAndMat"/>
      <w:bookmarkEnd w:id="473"/>
      <w:r>
        <w:rPr>
          <w:rFonts w:ascii="Times New Roman;Times;Serif" w:hAnsi="Times New Roman;Times;Serif"/>
          <w:b w:val="false"/>
          <w:i w:val="false"/>
          <w:caps w:val="false"/>
          <w:smallCaps w:val="false"/>
          <w:sz w:val="20"/>
        </w:rPr>
        <w:t>10,190, resulting in a realized gain of $</w:t>
      </w:r>
      <w:bookmarkStart w:id="474" w:name="xdx_90F_ecustom--RealizedGainOnMarketabl"/>
      <w:bookmarkEnd w:id="474"/>
      <w:r>
        <w:rPr>
          <w:rFonts w:ascii="Times New Roman;Times;Serif" w:hAnsi="Times New Roman;Times;Serif"/>
          <w:b w:val="false"/>
          <w:i w:val="false"/>
          <w:caps w:val="false"/>
          <w:smallCaps w:val="false"/>
          <w:sz w:val="20"/>
        </w:rPr>
        <w:t xml:space="preserve">484 measured from the December 31, 2025 fair value. The realized gain is included in “Realized gain on marketable securities” in other income (expense) in the unaudited condensed consolidated statements of operations. As the investment was disposed of prior to March 31, 2026, </w:t>
      </w:r>
      <w:bookmarkStart w:id="475" w:name="xdx_909_eus-gaap--UnrealizedGainLossOnIn"/>
      <w:bookmarkEnd w:id="475"/>
      <w:r>
        <w:rPr>
          <w:rFonts w:ascii="Times New Roman;Times;Serif" w:hAnsi="Times New Roman;Times;Serif"/>
          <w:b w:val="false"/>
          <w:i w:val="false"/>
          <w:caps w:val="false"/>
          <w:smallCaps w:val="false"/>
          <w:sz w:val="20"/>
        </w:rPr>
        <w:t xml:space="preserve">no unrealized gains or losses on the Empress investment were recognized during the three months ended March 31, 2026, and </w:t>
      </w:r>
      <w:bookmarkStart w:id="476" w:name="xdx_90E_eus-gaap--AssetImpairmentCharges"/>
      <w:bookmarkEnd w:id="476"/>
      <w:r>
        <w:rPr>
          <w:rFonts w:ascii="Times New Roman;Times;Serif" w:hAnsi="Times New Roman;Times;Serif"/>
          <w:b w:val="false"/>
          <w:i w:val="false"/>
          <w:caps w:val="false"/>
          <w:smallCaps w:val="false"/>
          <w:sz w:val="20"/>
        </w:rPr>
        <w:t>no impairment charges were recorded during any period in which the investment was held. As of March 31, 2026, the Company held no investment in Empress Royalty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7" w:name="xdx_80F_eus-gaap--OtherAssetsDisclosureT"/>
      <w:bookmarkEnd w:id="477"/>
      <w:r>
        <w:rPr>
          <w:rFonts w:ascii="Times New Roman;Times;Serif" w:hAnsi="Times New Roman;Times;Serif"/>
          <w:b/>
          <w:i w:val="false"/>
          <w:caps w:val="false"/>
          <w:smallCaps w:val="false"/>
          <w:sz w:val="20"/>
        </w:rPr>
        <w:t xml:space="preserve">NOTE 8 – </w:t>
      </w:r>
      <w:bookmarkStart w:id="478" w:name="xdx_82F_zqhCEFRkk77h"/>
      <w:bookmarkEnd w:id="478"/>
      <w:r>
        <w:rPr>
          <w:rFonts w:ascii="Times New Roman;Times;Serif" w:hAnsi="Times New Roman;Times;Serif"/>
          <w:b/>
          <w:i w:val="false"/>
          <w:caps w:val="false"/>
          <w:smallCaps w:val="false"/>
          <w:sz w:val="20"/>
        </w:rPr>
        <w:t>GOLD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Gold Bullion — Held for Sale (Sold February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held LBMA Good Delivery gold bullion (the “Gold”) on an allocated, physically segregated basis in secure vaults operated by Brink’s Global Services USA, Inc. (“Brink’s”) and maintained the Gold in a securities account with Gold Bullion International, LLC (“GBI”). The aggregate carrying value of the Gold as of December 31, 2025 was approximately $</w:t>
      </w:r>
      <w:bookmarkStart w:id="479" w:name="xdx_909_eus-gaap--OtherAssets_iI_pn3n3_c"/>
      <w:bookmarkEnd w:id="479"/>
      <w:r>
        <w:rPr>
          <w:rFonts w:ascii="Times New Roman;Times;Serif" w:hAnsi="Times New Roman;Times;Serif"/>
          <w:b w:val="false"/>
          <w:i w:val="false"/>
          <w:caps w:val="false"/>
          <w:smallCaps w:val="false"/>
          <w:sz w:val="20"/>
        </w:rPr>
        <w:t>24,472, of which approximately $</w:t>
      </w:r>
      <w:bookmarkStart w:id="480" w:name="xdx_90E_eus-gaap--OtherAssets_iI_pn3n3_c"/>
      <w:bookmarkEnd w:id="480"/>
      <w:r>
        <w:rPr>
          <w:rFonts w:ascii="Times New Roman;Times;Serif" w:hAnsi="Times New Roman;Times;Serif"/>
          <w:b w:val="false"/>
          <w:i w:val="false"/>
          <w:caps w:val="false"/>
          <w:smallCaps w:val="false"/>
          <w:sz w:val="20"/>
        </w:rPr>
        <w:t>23,472 was restricted and approximately $</w:t>
      </w:r>
      <w:bookmarkStart w:id="481" w:name="xdx_909_eus-gaap--OtherAssets_iI_pn3n3_c"/>
      <w:bookmarkEnd w:id="481"/>
      <w:r>
        <w:rPr>
          <w:rFonts w:ascii="Times New Roman;Times;Serif" w:hAnsi="Times New Roman;Times;Serif"/>
          <w:b w:val="false"/>
          <w:i w:val="false"/>
          <w:caps w:val="false"/>
          <w:smallCaps w:val="false"/>
          <w:sz w:val="20"/>
        </w:rPr>
        <w:t>1,000 was unrestricted.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portion of the Gold and related account rights were pledged as collateral under the Company’s secured financing arrangements, including the Secured Convertible Debenture Purchase Agreement dated July 7, 2025 and the Guaranty and Security Agreement dated November 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Account Control Agreement dated November 4, 2025, GBI is required to comply with entitlement orders issued by YA II PN, LTD., acting as collateral agent (the “Collateral Agent”), and GBI will not follow Company instructions unless accompanied by the Collateral Agent’s express written consent. Upon receipt of a notice of sole control following an event of default, GBI would terminate the Company’s access to the securities account and take instructions solely from the Collateral Agent as the entitlement holder with respect to the account and property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Brink’s Bailee Agreement dated November 4, 2025, Brink’s acts solely as bailee of the Gold, acknowledges no property interest in the Gold, and any statutory or possessory liens are subordinated to the Collateral Agent’s first-priority security interest. Brink’s maximum liability amount under its arrangements with GBI is $</w:t>
      </w:r>
      <w:bookmarkStart w:id="482" w:name="xdx_900_eus-gaap--OtherLiabilities_iI_pn"/>
      <w:bookmarkEnd w:id="482"/>
      <w:r>
        <w:rPr>
          <w:rFonts w:ascii="Times New Roman;Times;Serif" w:hAnsi="Times New Roman;Times;Serif"/>
          <w:b w:val="false"/>
          <w:i w:val="false"/>
          <w:caps w:val="false"/>
          <w:smallCaps w:val="false"/>
          <w:sz w:val="20"/>
        </w:rPr>
        <w:t>125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entitlement orders or notices of sole control were issued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29, 2025, management committed to a plan to sell the Gold in connection with the Company’s plan to resolve and repay its secured convertible debentures. The Company determined that all criteria for classification as held for sale under ASC 360-10-45-9 were met as of December 29, 2025. Accordingly, as of December 31, 2025, the Gold was classified as held for sale and measured at the lower of its carrying amount or fair value less cost to sell. Because fair value less cost to sell exceeded the carrying amount, </w:t>
      </w:r>
      <w:bookmarkStart w:id="483" w:name="xdx_90C_eus-gaap--InventoryWriteDown_pn3"/>
      <w:bookmarkEnd w:id="483"/>
      <w:r>
        <w:rPr>
          <w:rFonts w:ascii="Times New Roman;Times;Serif" w:hAnsi="Times New Roman;Times;Serif"/>
          <w:b w:val="false"/>
          <w:i w:val="false"/>
          <w:caps w:val="false"/>
          <w:smallCaps w:val="false"/>
          <w:sz w:val="20"/>
        </w:rPr>
        <w:t>no write-down was recorded prior to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transferred approximately $</w:t>
      </w:r>
      <w:bookmarkStart w:id="484" w:name="xdx_907_eus-gaap--OtherAssets_iI_pn3n3_c"/>
      <w:bookmarkEnd w:id="484"/>
      <w:r>
        <w:rPr>
          <w:rFonts w:ascii="Times New Roman;Times;Serif" w:hAnsi="Times New Roman;Times;Serif"/>
          <w:b w:val="false"/>
          <w:i w:val="false"/>
          <w:caps w:val="false"/>
          <w:smallCaps w:val="false"/>
          <w:sz w:val="20"/>
        </w:rPr>
        <w:t>1,000 of unrestricted gold bullion at cost to Streamex Ltd. in connection with the establishment of the GLDY Token program. The transferred gold is included in “Other assets held at cost – gold” within non-current assets on the unaudited condensed consolidated balance sheet as of March 31, 2026 (see Note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the Company completed the sale of the remaining LBMA Good Delivery gold bullion previously classified as held for sale, with a carrying amount of approximately $</w:t>
      </w:r>
      <w:bookmarkStart w:id="485" w:name="xdx_904_eus-gaap--OtherAssetsCurrent_iI_"/>
      <w:bookmarkEnd w:id="485"/>
      <w:r>
        <w:rPr>
          <w:rFonts w:ascii="Times New Roman;Times;Serif" w:hAnsi="Times New Roman;Times;Serif"/>
          <w:b w:val="false"/>
          <w:i w:val="false"/>
          <w:caps w:val="false"/>
          <w:smallCaps w:val="false"/>
          <w:sz w:val="20"/>
        </w:rPr>
        <w:t>23,472. The transaction was executed through the Company’s securities intermediary and resulted in cash proceeds of approximately $</w:t>
      </w:r>
      <w:bookmarkStart w:id="486" w:name="xdx_900_eus-gaap--ProceedsFromSaleOfRest"/>
      <w:bookmarkEnd w:id="486"/>
      <w:r>
        <w:rPr>
          <w:rFonts w:ascii="Times New Roman;Times;Serif" w:hAnsi="Times New Roman;Times;Serif"/>
          <w:b w:val="false"/>
          <w:i w:val="false"/>
          <w:caps w:val="false"/>
          <w:smallCaps w:val="false"/>
          <w:sz w:val="20"/>
        </w:rPr>
        <w:t>26,410. The Company recognized a gain of approximately $</w:t>
      </w:r>
      <w:bookmarkStart w:id="487" w:name="xdx_904_eus-gaap--GainLossOnSaleOfInvest"/>
      <w:bookmarkEnd w:id="487"/>
      <w:r>
        <w:rPr>
          <w:rFonts w:ascii="Times New Roman;Times;Serif" w:hAnsi="Times New Roman;Times;Serif"/>
          <w:b w:val="false"/>
          <w:i w:val="false"/>
          <w:caps w:val="false"/>
          <w:smallCaps w:val="false"/>
          <w:sz w:val="20"/>
        </w:rPr>
        <w:t>2,938 on the sale, which is included in “Realized gain on sale of gold” in other income (expense) in the unaudited condensed consolidated statements of operations. The proceeds were used to fund the repayment of the Yorkville Debentures (see Note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w:t>
      </w:r>
      <w:bookmarkStart w:id="488" w:name="xdx_904_eus-gaap--GainLossOnSaleOfInvest"/>
      <w:bookmarkEnd w:id="488"/>
      <w:r>
        <w:rPr>
          <w:rFonts w:ascii="Times New Roman;Times;Serif" w:hAnsi="Times New Roman;Times;Serif"/>
          <w:b w:val="false"/>
          <w:i w:val="false"/>
          <w:caps w:val="false"/>
          <w:smallCaps w:val="false"/>
          <w:sz w:val="20"/>
        </w:rPr>
        <w:t>no gold bullion classified as held for sale remained on the unaudited condensed consolidated balance sheet. Upon completion of the sale and settlement of the Convertible Debentures, all related security interests, liens, and custodial arrangements described above were terminated.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Gold Assets Held at Cost — Streamex Ltd.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Streamex Ltd. (the Company’s consolidated VIE) acquired gold bullion consisting of (i) the approximately $</w:t>
      </w:r>
      <w:bookmarkStart w:id="489" w:name="xdx_901_eus-gaap--OtherAssets_iI_pn3n3_c"/>
      <w:bookmarkEnd w:id="489"/>
      <w:r>
        <w:rPr>
          <w:rFonts w:ascii="Times New Roman;Times;Serif" w:hAnsi="Times New Roman;Times;Serif"/>
          <w:b w:val="false"/>
          <w:i w:val="false"/>
          <w:caps w:val="false"/>
          <w:smallCaps w:val="false"/>
          <w:sz w:val="20"/>
        </w:rPr>
        <w:t>1,000 of unrestricted gold transferred from the Company as described above, and (ii) approximately $</w:t>
      </w:r>
      <w:bookmarkStart w:id="490" w:name="xdx_903_eus-gaap--PaymentsForPurchaseOfO"/>
      <w:bookmarkEnd w:id="490"/>
      <w:r>
        <w:rPr>
          <w:rFonts w:ascii="Times New Roman;Times;Serif" w:hAnsi="Times New Roman;Times;Serif"/>
          <w:b w:val="false"/>
          <w:i w:val="false"/>
          <w:caps w:val="false"/>
          <w:smallCaps w:val="false"/>
          <w:sz w:val="20"/>
        </w:rPr>
        <w:t>14,225 of gold purchased directly by Streamex Ltd. with cash funded by the Company. As of March 31, 2026, the aggregate carrying amount of gold held by Streamex Ltd. was $</w:t>
      </w:r>
      <w:bookmarkStart w:id="491" w:name="xdx_900_eus-gaap--OtherAssetsNoncurrent_"/>
      <w:bookmarkEnd w:id="491"/>
      <w:r>
        <w:rPr>
          <w:rFonts w:ascii="Times New Roman;Times;Serif" w:hAnsi="Times New Roman;Times;Serif"/>
          <w:b w:val="false"/>
          <w:i w:val="false"/>
          <w:caps w:val="false"/>
          <w:smallCaps w:val="false"/>
          <w:sz w:val="20"/>
        </w:rPr>
        <w:t>15,225, classified as “Other assets held at cost – gold” within non-current assets on the unaudited condensed consolidated balance sheet. The gold is held to support the long-term GLDY Token program and related leasing activities and is accounted for as a long-lived tangible asset within the scope of ASC 360 (see Note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evaluated whether any events or changes in circumstances indicated that the carrying amount of its gold assets held at cost may not be recoverable. Based on this assessment, including consideration of gold market prices as of the balance sheet date, management concluded that no triggering events existed and no impairment charges were recorded during the three months ended March 31, 2026. See Note 9 for additional information regarding Streamex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2" w:name="xdx_80C_eus-gaap--VariableInterestEntity"/>
      <w:bookmarkEnd w:id="492"/>
      <w:r>
        <w:rPr>
          <w:rFonts w:ascii="Times New Roman;Times;Serif" w:hAnsi="Times New Roman;Times;Serif"/>
          <w:b/>
          <w:i w:val="false"/>
          <w:caps w:val="false"/>
          <w:smallCaps w:val="false"/>
          <w:sz w:val="20"/>
        </w:rPr>
        <w:t xml:space="preserve">NOTE 9 – </w:t>
      </w:r>
      <w:bookmarkStart w:id="493" w:name="xdx_824_zRTR9RTw1WOd"/>
      <w:bookmarkEnd w:id="493"/>
      <w:r>
        <w:rPr>
          <w:rFonts w:ascii="Times New Roman;Times;Serif" w:hAnsi="Times New Roman;Times;Serif"/>
          <w:b/>
          <w:i w:val="false"/>
          <w:caps w:val="false"/>
          <w:smallCaps w:val="false"/>
          <w:sz w:val="20"/>
        </w:rPr>
        <w:t>STREAMEX LTD.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Ltd. (“Streamex Ltd.” or the “VIE”) is a special-purpose entity organized in the Cayman Islands and formed to purchase and hold physical gold and to issue digital GLDY Tokens designed to provide tokenholders exposure to gold and gold-denominated leasing returns. Streamex Ltd. may also lease its gold holdings to generate gold-denominated yield. The Company is involved with Streamex Ltd. through its governance rights and through its economic interests in GLDY Tokens.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Ltd. began operations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Variable Interest Entity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Streamex Ltd. under the variable interest entity (“VIE”) model in ASC 810, Consolidation. A legal entity is a VIE if, among other conditions, the holders of the equity investment at risk, as a group, lack the power, through voting rights or similar rights, to direct the activities that most significantly impact the entity’s economic performance. Streamex Ltd. is considered a VIE because the holders of GLDY Tokens (which represent non-voting participating equity interests) lack substantive voting rights and do not have the power to direct the activities that most significantly impact Streamex Ltd.’s economic performance. Voting control resides with the single voting management share, which controls shareholder-level decisions including the appointment and removal of directors, and day-to-day operating authority has been delegated to GLDY ServiceCo, LLC, a consolidated subsidiary of the Company, pursuant to a services agreement. Because Streamex Ltd. is a VIE, the Company evaluated whether it is the primary beneficiary and therefore required to consolidate Streamex Ltd., 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Primary Beneficiary Conclusion and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its involvement with Streamex Ltd. under ASC 810, Consolidation, and concluded it is the primary beneficiary and is required to consolidate Streamex Ltd. Under ASC 810-10-25-38, a reporting entity is the primary beneficiary of a VIE only if it has both (i) the power to direct the activities that most significantly impact the VIE’s economic performance and (ii) the obligation to absorb losses or the right to receive benefits from the VIE that could potentially be significant to the VIE. The Company concluded both criteria are met as of March 31, 2026 because it has the power to direct the activities that most significantly impact Streamex Ltd.’s economic performance through its control of the VIE’s governance structure (including the voting management share and related decision rights, as applicable) and the servicer arrangement, and has the obligation to absorb losses or the right to receive benefits that could potentially be significant to the VIE due to its economic interest in the GLDY Tokens.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Company held approximately </w:t>
      </w:r>
      <w:bookmarkStart w:id="494" w:name="xdx_902_eus-gaap--VariableInterestEntity"/>
      <w:bookmarkEnd w:id="494"/>
      <w:r>
        <w:rPr>
          <w:rFonts w:ascii="Times New Roman;Times;Serif" w:hAnsi="Times New Roman;Times;Serif"/>
          <w:b w:val="false"/>
          <w:i w:val="false"/>
          <w:caps w:val="false"/>
          <w:smallCaps w:val="false"/>
          <w:sz w:val="20"/>
        </w:rPr>
        <w:t>98.5% of the outstanding GLDY Tokens issued by Streamex Ltd. (approximately $</w:t>
      </w:r>
      <w:bookmarkStart w:id="495" w:name="xdx_908_eus-gaap--PaymentsToAcquireLease"/>
      <w:bookmarkEnd w:id="495"/>
      <w:r>
        <w:rPr>
          <w:rFonts w:ascii="Times New Roman;Times;Serif" w:hAnsi="Times New Roman;Times;Serif"/>
          <w:b w:val="false"/>
          <w:i w:val="false"/>
          <w:caps w:val="false"/>
          <w:smallCaps w:val="false"/>
          <w:sz w:val="20"/>
        </w:rPr>
        <w:t>15,000 invested by the Company out of $</w:t>
      </w:r>
      <w:bookmarkStart w:id="496" w:name="xdx_90C_eus-gaap--OtherAssetsNoncurrent_"/>
      <w:bookmarkEnd w:id="496"/>
      <w:r>
        <w:rPr>
          <w:rFonts w:ascii="Times New Roman;Times;Serif" w:hAnsi="Times New Roman;Times;Serif"/>
          <w:b w:val="false"/>
          <w:i w:val="false"/>
          <w:caps w:val="false"/>
          <w:smallCaps w:val="false"/>
          <w:sz w:val="20"/>
        </w:rPr>
        <w:t>15,225 total tokens issued). Two related party investors subscribed for an aggregate of approximately $</w:t>
      </w:r>
      <w:bookmarkStart w:id="497" w:name="xdx_901_eus-gaap--OtherAssetsNoncurrent_"/>
      <w:bookmarkEnd w:id="497"/>
      <w:r>
        <w:rPr>
          <w:rFonts w:ascii="Times New Roman;Times;Serif" w:hAnsi="Times New Roman;Times;Serif"/>
          <w:b w:val="false"/>
          <w:i w:val="false"/>
          <w:caps w:val="false"/>
          <w:smallCaps w:val="false"/>
          <w:sz w:val="20"/>
        </w:rPr>
        <w:t xml:space="preserve">225 in GLDY Tokens during March 2026, representing approximately </w:t>
      </w:r>
      <w:bookmarkStart w:id="498" w:name="xdx_902_ecustom--VariableInterestPercent"/>
      <w:bookmarkEnd w:id="498"/>
      <w:r>
        <w:rPr>
          <w:rFonts w:ascii="Times New Roman;Times;Serif" w:hAnsi="Times New Roman;Times;Serif"/>
          <w:b w:val="false"/>
          <w:i w:val="false"/>
          <w:caps w:val="false"/>
          <w:smallCaps w:val="false"/>
          <w:sz w:val="20"/>
        </w:rPr>
        <w:t>1.5% of total tokens outstanding. Accordingly, the Company has consolidated Streamex Ltd. from the date of its formation in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Carrying Amounts of Assets and Liabilities of Consolidated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carrying amounts and balance sheet classifications of the significant assets and liabilities of Streamex Ltd. included in the Company’s unaudited condensed consolidated balance sheet as of March 31, 2026. The assets of Streamex Ltd. are generally restricted and can be used only to settle obligations of Streamex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9" w:name="xdx_89B_eus-gaap--ScheduleOfVariableInte"/>
      <w:bookmarkEnd w:id="499"/>
      <w:r>
        <w:rPr>
          <w:rFonts w:ascii="Times New Roman;Times;Serif" w:hAnsi="Times New Roman;Times;Serif"/>
          <w:b w:val="false"/>
          <w:i w:val="false"/>
          <w:caps w:val="false"/>
          <w:smallCaps w:val="false"/>
          <w:sz w:val="20"/>
        </w:rPr>
        <w:t>Streamex Ltd. assets and liabilities included in the unaudited condensed consolidated balance sheet as of March 31, 2026:</w:t>
      </w:r>
    </w:p>
    <w:p>
      <w:pPr>
        <w:pStyle w:val="TextBody"/>
        <w:bidi w:val="0"/>
        <w:spacing w:before="0" w:after="0"/>
        <w:ind w:left="0" w:right="0" w:hanging="0"/>
        <w:jc w:val="both"/>
        <w:rPr>
          <w:caps w:val="false"/>
          <w:smallCaps w:val="false"/>
        </w:rPr>
      </w:pPr>
      <w:r>
        <w:rPr>
          <w:caps w:val="false"/>
          <w:smallCaps w:val="false"/>
        </w:rPr>
        <w:t> </w:t>
      </w:r>
      <w:bookmarkStart w:id="500" w:name="xdx_8B6_zJ7vhdNIVxYb"/>
      <w:bookmarkEnd w:id="500"/>
      <w:r>
        <w:rPr>
          <w:rFonts w:ascii="Times New Roman;Times;Serif" w:hAnsi="Times New Roman;Times;Serif"/>
          <w:b w:val="false"/>
          <w:i w:val="false"/>
          <w:caps w:val="false"/>
          <w:smallCaps w:val="false"/>
          <w:sz w:val="20"/>
        </w:rPr>
        <w:t>SCHEDULE OF VAIABLE INTEREST ENTITY ASSETS AND LIABILITIES</w:t>
      </w:r>
    </w:p>
    <w:tbl>
      <w:tblPr>
        <w:tblW w:w="4800" w:type="dxa"/>
        <w:jc w:val="left"/>
        <w:tblInd w:w="0" w:type="dxa"/>
        <w:tblLayout w:type="fixed"/>
        <w:tblCellMar>
          <w:top w:w="0" w:type="dxa"/>
          <w:left w:w="0" w:type="dxa"/>
          <w:bottom w:w="0" w:type="dxa"/>
          <w:right w:w="0" w:type="dxa"/>
        </w:tblCellMar>
      </w:tblPr>
      <w:tblGrid>
        <w:gridCol w:w="3845"/>
        <w:gridCol w:w="60"/>
        <w:gridCol w:w="140"/>
        <w:gridCol w:w="680"/>
        <w:gridCol w:w="75"/>
      </w:tblGrid>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01" w:name="xdx_49F_20260331__srt--ConsolidatedEntit"/>
            <w:bookmarkEnd w:id="501"/>
          </w:p>
        </w:tc>
        <w:tc>
          <w:tcPr>
            <w:tcW w:w="8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502" w:name="xdx_403_eus-gaap--AssetsAbstract_iB_zMJw"/>
            <w:bookmarkEnd w:id="502"/>
          </w:p>
        </w:tc>
      </w:tr>
      <w:tr>
        <w:trPr/>
        <w:tc>
          <w:tcPr>
            <w:tcW w:w="384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82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503" w:name="xdx_408_eus-gaap--OtherAssetsNoncurrent_"/>
            <w:bookmarkEnd w:id="503"/>
          </w:p>
        </w:tc>
      </w:tr>
      <w:tr>
        <w:trPr/>
        <w:tc>
          <w:tcPr>
            <w:tcW w:w="3845" w:type="dxa"/>
            <w:tcBorders/>
            <w:shd w:fill="FFFFFF" w:val="clear"/>
            <w:vAlign w:val="center"/>
          </w:tcPr>
          <w:p>
            <w:pPr>
              <w:pStyle w:val="TableContents"/>
              <w:bidi w:val="0"/>
              <w:spacing w:before="0" w:after="283"/>
              <w:jc w:val="left"/>
              <w:rPr/>
            </w:pPr>
            <w:r>
              <w:rPr/>
              <w:t>Other assets held at cost – gold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15,225</w:t>
            </w:r>
          </w:p>
        </w:tc>
        <w:tc>
          <w:tcPr>
            <w:tcW w:w="75" w:type="dxa"/>
            <w:tcBorders/>
            <w:shd w:fill="FFFFFF" w:val="clear"/>
            <w:vAlign w:val="center"/>
          </w:tcPr>
          <w:p>
            <w:pPr>
              <w:pStyle w:val="TableContents"/>
              <w:bidi w:val="0"/>
              <w:spacing w:before="0" w:after="283"/>
              <w:jc w:val="left"/>
              <w:rPr/>
            </w:pPr>
            <w:r>
              <w:rPr/>
              <w:t> </w:t>
            </w:r>
            <w:bookmarkStart w:id="504" w:name="xdx_405_eus-gaap--Cash_iI_zeP9NqEpG9Kf"/>
            <w:bookmarkEnd w:id="504"/>
          </w:p>
        </w:tc>
      </w:tr>
      <w:tr>
        <w:trPr/>
        <w:tc>
          <w:tcPr>
            <w:tcW w:w="384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60</w:t>
            </w:r>
          </w:p>
        </w:tc>
        <w:tc>
          <w:tcPr>
            <w:tcW w:w="75" w:type="dxa"/>
            <w:tcBorders/>
            <w:shd w:fill="CCEEFF" w:val="clear"/>
            <w:vAlign w:val="center"/>
          </w:tcPr>
          <w:p>
            <w:pPr>
              <w:pStyle w:val="TableContents"/>
              <w:bidi w:val="0"/>
              <w:spacing w:before="0" w:after="283"/>
              <w:jc w:val="left"/>
              <w:rPr/>
            </w:pPr>
            <w:r>
              <w:rPr/>
              <w:t> </w:t>
            </w:r>
            <w:bookmarkStart w:id="505" w:name="xdx_406_eus-gaap--Assets_iI_zBhlAHPTD7G1"/>
            <w:bookmarkEnd w:id="505"/>
          </w:p>
        </w:tc>
      </w:tr>
      <w:tr>
        <w:trPr/>
        <w:tc>
          <w:tcPr>
            <w:tcW w:w="384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15,285</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06" w:name="xdx_40E_eus-gaap--LiabilitiesAbstract_iB"/>
            <w:bookmarkEnd w:id="506"/>
          </w:p>
        </w:tc>
      </w:tr>
      <w:tr>
        <w:trPr/>
        <w:tc>
          <w:tcPr>
            <w:tcW w:w="3845"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07" w:name="xdx_40E_eus-gaap--AccountsPayableAndAccr"/>
            <w:bookmarkEnd w:id="507"/>
          </w:p>
        </w:tc>
      </w:tr>
      <w:tr>
        <w:trPr/>
        <w:tc>
          <w:tcPr>
            <w:tcW w:w="3845"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33</w:t>
            </w:r>
          </w:p>
        </w:tc>
        <w:tc>
          <w:tcPr>
            <w:tcW w:w="75" w:type="dxa"/>
            <w:tcBorders/>
            <w:shd w:fill="CCEEFF" w:val="clear"/>
            <w:vAlign w:val="center"/>
          </w:tcPr>
          <w:p>
            <w:pPr>
              <w:pStyle w:val="TableContents"/>
              <w:bidi w:val="0"/>
              <w:spacing w:before="0" w:after="283"/>
              <w:jc w:val="left"/>
              <w:rPr/>
            </w:pPr>
            <w:r>
              <w:rPr/>
              <w:t> </w:t>
            </w:r>
            <w:bookmarkStart w:id="508" w:name="xdx_407_eus-gaap--Liabilities_iI_z8cpNK9"/>
            <w:bookmarkEnd w:id="508"/>
          </w:p>
        </w:tc>
      </w:tr>
      <w:tr>
        <w:trPr/>
        <w:tc>
          <w:tcPr>
            <w:tcW w:w="384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9" w:name="xdx_8A8_zzDx4gxJkCYj"/>
      <w:bookmarkEnd w:id="50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Streamex Ltd. incurred a net loss of approximately $</w:t>
      </w:r>
      <w:bookmarkStart w:id="510" w:name="xdx_903_eus-gaap--NetIncomeLoss_pn3n3_c2"/>
      <w:bookmarkEnd w:id="510"/>
      <w:r>
        <w:rPr>
          <w:rFonts w:ascii="Times New Roman;Times;Serif" w:hAnsi="Times New Roman;Times;Serif"/>
          <w:b w:val="false"/>
          <w:i w:val="false"/>
          <w:caps w:val="false"/>
          <w:smallCaps w:val="false"/>
          <w:sz w:val="20"/>
        </w:rPr>
        <w:t>155, primarily consisting of operating expenses including bank fees, custody-related charges, and digital asset transaction costs. The net loss was funded by capital contributions from the Company and its affiliates (see Note 8 for additional information regarding the gold assets held by Streamex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March 2026, two officers of the Company subscribed for GLDY Tokens directly with Streamex Ltd.: (i) the Company’s Chief Investment Officer, subscribed for approximately $</w:t>
      </w:r>
      <w:bookmarkStart w:id="511" w:name="xdx_90D_eus-gaap--NoncontrollingInterest"/>
      <w:bookmarkEnd w:id="511"/>
      <w:r>
        <w:rPr>
          <w:rFonts w:ascii="Times New Roman;Times;Serif" w:hAnsi="Times New Roman;Times;Serif"/>
          <w:b w:val="false"/>
          <w:i w:val="false"/>
          <w:caps w:val="false"/>
          <w:smallCaps w:val="false"/>
          <w:sz w:val="20"/>
        </w:rPr>
        <w:t>200 of GLDY Tokens on March 17, 2026, and (ii) the Company’s General Counsel, subscribed for approximately $</w:t>
      </w:r>
      <w:bookmarkStart w:id="512" w:name="xdx_908_eus-gaap--NoncontrollingInterest"/>
      <w:bookmarkEnd w:id="512"/>
      <w:r>
        <w:rPr>
          <w:rFonts w:ascii="Times New Roman;Times;Serif" w:hAnsi="Times New Roman;Times;Serif"/>
          <w:b w:val="false"/>
          <w:i w:val="false"/>
          <w:caps w:val="false"/>
          <w:smallCaps w:val="false"/>
          <w:sz w:val="20"/>
        </w:rPr>
        <w:t>25 of GLDY Tokens on March 27, 2026. These subscriptions were made on the same terms and at the same per-token price as the Company’s own subscriptions and are related party transactions (see Note 18,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Lack of Recourse /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of Streamex Ltd. are generally not available to satisfy the obligations of the Company or its other subsidiaries, and the creditors and tokenholders of Streamex Ltd. generally do not have recourse to the general credit of the Company beyond the assets of Streamex Ltd., except to the limited extent of intercompany balances eliminated in consolidation. The liabilities recognized as a result of consolidating Streamex Ltd. do not represent additional claims on the Company’s general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Maximum Exposure to Loss / Financial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maximum exposure to loss associated with its involvement with Streamex Ltd. as of March 31, 2026 is limited to the carrying amount of its approximately </w:t>
      </w:r>
      <w:bookmarkStart w:id="513" w:name="xdx_903_eus-gaap--VariableInterestEntity"/>
      <w:bookmarkEnd w:id="513"/>
      <w:r>
        <w:rPr>
          <w:rFonts w:ascii="Times New Roman;Times;Serif" w:hAnsi="Times New Roman;Times;Serif"/>
          <w:b w:val="false"/>
          <w:i w:val="false"/>
          <w:caps w:val="false"/>
          <w:smallCaps w:val="false"/>
          <w:sz w:val="20"/>
        </w:rPr>
        <w:t>98.5% economic interest in the GLDY Tokens and its net interest in Streamex Ltd.’s net assets, which totaled approximately $</w:t>
      </w:r>
      <w:bookmarkStart w:id="514" w:name="xdx_908_eus-gaap--PaymentsToAcquireLease"/>
      <w:bookmarkEnd w:id="514"/>
      <w:r>
        <w:rPr>
          <w:rFonts w:ascii="Times New Roman;Times;Serif" w:hAnsi="Times New Roman;Times;Serif"/>
          <w:b w:val="false"/>
          <w:i w:val="false"/>
          <w:caps w:val="false"/>
          <w:smallCaps w:val="false"/>
          <w:sz w:val="20"/>
        </w:rPr>
        <w:t>15,000 at the date of investment. The Company has no arrangements that legally obligate it to provide additional financial support to Streamex Ltd., such as guarantees or liquidity facilities, beyond its role as an investor and service provider. However, the Company funded approximately $</w:t>
      </w:r>
      <w:bookmarkStart w:id="515" w:name="xdx_904_ecustom--OperatingExpense_pn3n3_"/>
      <w:bookmarkEnd w:id="515"/>
      <w:r>
        <w:rPr>
          <w:rFonts w:ascii="Times New Roman;Times;Serif" w:hAnsi="Times New Roman;Times;Serif"/>
          <w:b w:val="false"/>
          <w:i w:val="false"/>
          <w:caps w:val="false"/>
          <w:smallCaps w:val="false"/>
          <w:sz w:val="20"/>
        </w:rPr>
        <w:t>158 of Streamex Ltd.’s operating expenses during Q1 2026 through capital contributions from the Company and its affiliates, which are eliminated in consolidation.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 Considerations / Intercompany Eliminations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Ltd. pays servicing fees to GLDY ServiceCo, LLC, a consolidated subsidiary of the Company, under the applicable servicing arrangement. Because the servicer is a consolidated subsidiary, these servicing fees and related intercompany balances are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noncontrolling interests in Streamex Ltd. consisted of (i) the single voting management share held by the VIE’s director, which carries governance rights but no material economic interest, and (ii) GLDY Tokens held by two officers of the Company who subscribed as related party investors during March 2026. In aggregate, related party tokenholders held approximately </w:t>
      </w:r>
      <w:bookmarkStart w:id="516" w:name="xdx_90F_eus-gaap--VariableInterestEntity"/>
      <w:bookmarkEnd w:id="516"/>
      <w:r>
        <w:rPr>
          <w:rFonts w:ascii="Times New Roman;Times;Serif" w:hAnsi="Times New Roman;Times;Serif"/>
          <w:b w:val="false"/>
          <w:i w:val="false"/>
          <w:caps w:val="false"/>
          <w:smallCaps w:val="false"/>
          <w:sz w:val="20"/>
        </w:rPr>
        <w:t>1.5% of the outstanding GLDY Tokens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noncontrolling interest attributable to Streamex Ltd. as of March 31, 2026 was approximately $</w:t>
      </w:r>
      <w:bookmarkStart w:id="517" w:name="xdx_908_eus-gaap--MinorityInterest_iI_pn"/>
      <w:bookmarkEnd w:id="517"/>
      <w:r>
        <w:rPr>
          <w:rFonts w:ascii="Times New Roman;Times;Serif" w:hAnsi="Times New Roman;Times;Serif"/>
          <w:b w:val="false"/>
          <w:i w:val="false"/>
          <w:caps w:val="false"/>
          <w:smallCaps w:val="false"/>
          <w:sz w:val="20"/>
        </w:rPr>
        <w:t>224, consisting of related party token subscriptions described above, net of the noncontrolling interest’s proportionate share of the VIE’s net loss for the period. The noncontrolling interest is presented within noncontrolling interest on the unaudited condensed consolidated balance sheet and in the unaudited condensed consolidated statements of operations. See Note 15 for the noncontrolling interest rollforward and attribution tables.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Ongoing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reassesses its primary beneficiary conclusion on an ongoing basis in accordance with ASC 810 whenever changes in facts and circumstances occur that could affect the determination of whether either criterion under ASC 810 continues to be met. Changes that could affect the primary beneficiary assessment include, but are not limited to, changes in GLDY Token ownership (including issuance, redemption, or transfer of GLDY Tokens to unrelated third parties that could affect the significance of the Company’s economic exposure to the VIE), modifications of governing documents or fee arrangements, changes in ownership of the management share, or replacement of the affiliated servicer by an unrelated party. As of March 31, 2026, no changes in facts or circumstances have occurred that would alter the Company’s conclusion.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8" w:name="xdx_80C_eus-gaap--AccountsPayableAndAccr"/>
      <w:bookmarkEnd w:id="518"/>
      <w:r>
        <w:rPr>
          <w:rFonts w:ascii="Times New Roman;Times;Serif" w:hAnsi="Times New Roman;Times;Serif"/>
          <w:b/>
          <w:i w:val="false"/>
          <w:caps w:val="false"/>
          <w:smallCaps w:val="false"/>
          <w:sz w:val="20"/>
        </w:rPr>
        <w:t>NOTE 10</w:t>
      </w:r>
      <w:r>
        <w:rPr>
          <w:rFonts w:ascii="Times New Roman;Times;Serif" w:hAnsi="Times New Roman;Times;Serif"/>
          <w:b w:val="false"/>
          <w:i w:val="false"/>
          <w:caps w:val="false"/>
          <w:smallCaps w:val="false"/>
          <w:sz w:val="20"/>
        </w:rPr>
        <w:t xml:space="preserve"> – </w:t>
      </w:r>
      <w:bookmarkStart w:id="519" w:name="xdx_822_zcCUwAmzIo5h"/>
      <w:bookmarkEnd w:id="519"/>
      <w:r>
        <w:rPr>
          <w:rFonts w:ascii="Times New Roman;Times;Serif" w:hAnsi="Times New Roman;Times;Serif"/>
          <w:b/>
          <w:i w:val="false"/>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0" w:name="xdx_894_eus-gaap--ScheduleOfAccountsPaya"/>
      <w:bookmarkEnd w:id="520"/>
      <w:r>
        <w:rPr>
          <w:rFonts w:ascii="Times New Roman;Times;Serif" w:hAnsi="Times New Roman;Times;Serif"/>
          <w:b w:val="false"/>
          <w:i w:val="false"/>
          <w:caps w:val="false"/>
          <w:smallCaps w:val="false"/>
          <w:sz w:val="20"/>
        </w:rPr>
        <w:t>Accounts payable and accrued expenses as of March 31, 2026, and December 31, 2025, consist of the following:</w:t>
      </w:r>
    </w:p>
    <w:p>
      <w:pPr>
        <w:pStyle w:val="TextBody"/>
        <w:bidi w:val="0"/>
        <w:spacing w:before="0" w:after="0"/>
        <w:ind w:left="0" w:right="0" w:hanging="0"/>
        <w:jc w:val="both"/>
        <w:rPr>
          <w:caps w:val="false"/>
          <w:smallCaps w:val="false"/>
        </w:rPr>
      </w:pPr>
      <w:r>
        <w:rPr>
          <w:caps w:val="false"/>
          <w:smallCaps w:val="false"/>
        </w:rPr>
        <w:t> </w:t>
      </w:r>
      <w:bookmarkStart w:id="521" w:name="xdx_8B7_z7zl5T9PCRok"/>
      <w:bookmarkEnd w:id="521"/>
      <w:r>
        <w:rPr>
          <w:rFonts w:ascii="Times New Roman;Times;Serif" w:hAnsi="Times New Roman;Times;Serif"/>
          <w:b w:val="false"/>
          <w:i w:val="false"/>
          <w:caps w:val="false"/>
          <w:smallCaps w:val="false"/>
          <w:sz w:val="20"/>
        </w:rPr>
        <w:t>SCHEDULE OF ACCOUNTS PAYABLE AND ACCRUED EXPENSE</w:t>
      </w:r>
    </w:p>
    <w:tbl>
      <w:tblPr>
        <w:tblW w:w="7020" w:type="dxa"/>
        <w:jc w:val="left"/>
        <w:tblInd w:w="0" w:type="dxa"/>
        <w:tblLayout w:type="fixed"/>
        <w:tblCellMar>
          <w:top w:w="0" w:type="dxa"/>
          <w:left w:w="0" w:type="dxa"/>
          <w:bottom w:w="0" w:type="dxa"/>
          <w:right w:w="0" w:type="dxa"/>
        </w:tblCellMar>
      </w:tblPr>
      <w:tblGrid>
        <w:gridCol w:w="4280"/>
        <w:gridCol w:w="60"/>
        <w:gridCol w:w="214"/>
        <w:gridCol w:w="856"/>
        <w:gridCol w:w="60"/>
        <w:gridCol w:w="60"/>
        <w:gridCol w:w="283"/>
        <w:gridCol w:w="1132"/>
        <w:gridCol w:w="75"/>
      </w:tblGrid>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22" w:name="xdx_498_20260331_ztLfyIySEJc8"/>
            <w:bookmarkEnd w:id="522"/>
          </w:p>
        </w:tc>
        <w:tc>
          <w:tcPr>
            <w:tcW w:w="107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B_20251231_zoEwTIk1K0D"/>
            <w:bookmarkEnd w:id="523"/>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24" w:name="xdx_402_eus-gaap--AccruedProfessionalFee"/>
            <w:bookmarkEnd w:id="524"/>
          </w:p>
        </w:tc>
      </w:tr>
      <w:tr>
        <w:trPr/>
        <w:tc>
          <w:tcPr>
            <w:tcW w:w="4280" w:type="dxa"/>
            <w:tcBorders/>
            <w:shd w:fill="CCEEFF" w:val="clear"/>
            <w:vAlign w:val="center"/>
          </w:tcPr>
          <w:p>
            <w:pPr>
              <w:pStyle w:val="TableContents"/>
              <w:bidi w:val="0"/>
              <w:spacing w:before="0" w:after="283"/>
              <w:jc w:val="left"/>
              <w:rPr/>
            </w:pPr>
            <w:r>
              <w:rPr/>
              <w:t>Accrued accounting and legal</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705</w:t>
            </w:r>
          </w:p>
        </w:tc>
        <w:tc>
          <w:tcPr>
            <w:tcW w:w="75" w:type="dxa"/>
            <w:tcBorders/>
            <w:shd w:fill="CCEEFF" w:val="clear"/>
            <w:vAlign w:val="center"/>
          </w:tcPr>
          <w:p>
            <w:pPr>
              <w:pStyle w:val="TableContents"/>
              <w:bidi w:val="0"/>
              <w:spacing w:before="0" w:after="283"/>
              <w:jc w:val="left"/>
              <w:rPr/>
            </w:pPr>
            <w:r>
              <w:rPr/>
              <w:t> </w:t>
            </w:r>
            <w:bookmarkStart w:id="525" w:name="xdx_406_ecustom--AccruedConsultingCurren"/>
            <w:bookmarkEnd w:id="525"/>
          </w:p>
        </w:tc>
      </w:tr>
      <w:tr>
        <w:trPr/>
        <w:tc>
          <w:tcPr>
            <w:tcW w:w="4280" w:type="dxa"/>
            <w:tcBorders/>
            <w:shd w:fill="FFFFFF" w:val="clear"/>
            <w:vAlign w:val="center"/>
          </w:tcPr>
          <w:p>
            <w:pPr>
              <w:pStyle w:val="TableContents"/>
              <w:bidi w:val="0"/>
              <w:spacing w:before="0" w:after="283"/>
              <w:jc w:val="left"/>
              <w:rPr/>
            </w:pPr>
            <w:r>
              <w:rPr/>
              <w:t>Accrued consulting</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406</w:t>
            </w:r>
          </w:p>
        </w:tc>
        <w:tc>
          <w:tcPr>
            <w:tcW w:w="75" w:type="dxa"/>
            <w:tcBorders/>
            <w:shd w:fill="FFFFFF" w:val="clear"/>
            <w:vAlign w:val="center"/>
          </w:tcPr>
          <w:p>
            <w:pPr>
              <w:pStyle w:val="TableContents"/>
              <w:bidi w:val="0"/>
              <w:spacing w:before="0" w:after="283"/>
              <w:jc w:val="left"/>
              <w:rPr/>
            </w:pPr>
            <w:r>
              <w:rPr/>
              <w:t> </w:t>
            </w:r>
            <w:bookmarkStart w:id="526" w:name="xdx_404_ecustom--AccruedInterestCurrent_"/>
            <w:bookmarkEnd w:id="526"/>
          </w:p>
        </w:tc>
      </w:tr>
      <w:tr>
        <w:trPr/>
        <w:tc>
          <w:tcPr>
            <w:tcW w:w="4280"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200</w:t>
            </w:r>
          </w:p>
        </w:tc>
        <w:tc>
          <w:tcPr>
            <w:tcW w:w="75" w:type="dxa"/>
            <w:tcBorders/>
            <w:shd w:fill="CCEEFF" w:val="clear"/>
            <w:vAlign w:val="center"/>
          </w:tcPr>
          <w:p>
            <w:pPr>
              <w:pStyle w:val="TableContents"/>
              <w:bidi w:val="0"/>
              <w:spacing w:before="0" w:after="283"/>
              <w:jc w:val="left"/>
              <w:rPr/>
            </w:pPr>
            <w:r>
              <w:rPr/>
              <w:t> </w:t>
            </w:r>
            <w:bookmarkStart w:id="527" w:name="xdx_40C_ecustom--AccruedResearchAndDevel"/>
            <w:bookmarkEnd w:id="527"/>
          </w:p>
        </w:tc>
      </w:tr>
      <w:tr>
        <w:trPr/>
        <w:tc>
          <w:tcPr>
            <w:tcW w:w="4280" w:type="dxa"/>
            <w:tcBorders/>
            <w:shd w:fill="FFFFFF" w:val="clear"/>
            <w:vAlign w:val="center"/>
          </w:tcPr>
          <w:p>
            <w:pPr>
              <w:pStyle w:val="TableContents"/>
              <w:bidi w:val="0"/>
              <w:spacing w:before="0" w:after="283"/>
              <w:jc w:val="left"/>
              <w:rPr/>
            </w:pPr>
            <w:r>
              <w:rPr/>
              <w:t>Accrued research and development expenses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169</w:t>
            </w:r>
          </w:p>
        </w:tc>
        <w:tc>
          <w:tcPr>
            <w:tcW w:w="75" w:type="dxa"/>
            <w:tcBorders/>
            <w:shd w:fill="FFFFFF" w:val="clear"/>
            <w:vAlign w:val="center"/>
          </w:tcPr>
          <w:p>
            <w:pPr>
              <w:pStyle w:val="TableContents"/>
              <w:bidi w:val="0"/>
              <w:spacing w:before="0" w:after="283"/>
              <w:jc w:val="left"/>
              <w:rPr/>
            </w:pPr>
            <w:r>
              <w:rPr/>
              <w:t> </w:t>
            </w:r>
            <w:bookmarkStart w:id="528" w:name="xdx_406_ecustom--AccruedOfficeExpenseAnd"/>
            <w:bookmarkEnd w:id="528"/>
          </w:p>
        </w:tc>
      </w:tr>
      <w:tr>
        <w:trPr/>
        <w:tc>
          <w:tcPr>
            <w:tcW w:w="4280" w:type="dxa"/>
            <w:tcBorders/>
            <w:shd w:fill="CCEEFF" w:val="clear"/>
            <w:vAlign w:val="center"/>
          </w:tcPr>
          <w:p>
            <w:pPr>
              <w:pStyle w:val="TableContents"/>
              <w:bidi w:val="0"/>
              <w:spacing w:before="0" w:after="283"/>
              <w:jc w:val="left"/>
              <w:rPr/>
            </w:pPr>
            <w:r>
              <w:rPr/>
              <w:t>Accrued office and other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jc w:val="left"/>
              <w:rPr/>
            </w:pPr>
            <w:r>
              <w:rPr/>
              <w:t> </w:t>
            </w:r>
            <w:bookmarkStart w:id="529" w:name="xdx_404_ecustom--AccruedInsurancePremium"/>
            <w:bookmarkEnd w:id="529"/>
          </w:p>
        </w:tc>
      </w:tr>
      <w:tr>
        <w:trPr/>
        <w:tc>
          <w:tcPr>
            <w:tcW w:w="4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insurance premium financing</w:t>
            </w:r>
            <w:bookmarkStart w:id="530" w:name="xdx_F42_zFCI2KonETD2"/>
            <w:bookmarkEnd w:id="530"/>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916</w:t>
            </w:r>
          </w:p>
        </w:tc>
        <w:tc>
          <w:tcPr>
            <w:tcW w:w="75" w:type="dxa"/>
            <w:tcBorders/>
            <w:shd w:fill="FFFFFF" w:val="clear"/>
            <w:vAlign w:val="center"/>
          </w:tcPr>
          <w:p>
            <w:pPr>
              <w:pStyle w:val="TableContents"/>
              <w:bidi w:val="0"/>
              <w:spacing w:before="0" w:after="283"/>
              <w:jc w:val="left"/>
              <w:rPr/>
            </w:pPr>
            <w:r>
              <w:rPr/>
              <w:t> </w:t>
            </w:r>
            <w:bookmarkStart w:id="531" w:name="xdx_40B_eus-gaap--AccruedSalariesCurrent"/>
            <w:bookmarkEnd w:id="531"/>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payroll</w:t>
            </w:r>
            <w:bookmarkStart w:id="532" w:name="xdx_F49_zhJDJEYwFP7h"/>
            <w:bookmarkEnd w:id="532"/>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512</w:t>
            </w:r>
          </w:p>
        </w:tc>
        <w:tc>
          <w:tcPr>
            <w:tcW w:w="75" w:type="dxa"/>
            <w:tcBorders/>
            <w:shd w:fill="CCEEFF" w:val="clear"/>
            <w:vAlign w:val="center"/>
          </w:tcPr>
          <w:p>
            <w:pPr>
              <w:pStyle w:val="TableContents"/>
              <w:bidi w:val="0"/>
              <w:spacing w:before="0" w:after="283"/>
              <w:jc w:val="left"/>
              <w:rPr/>
            </w:pPr>
            <w:r>
              <w:rPr/>
              <w:t> </w:t>
            </w:r>
            <w:bookmarkStart w:id="533" w:name="xdx_402_eus-gaap--OtherAccruedLiabilitie"/>
            <w:bookmarkEnd w:id="533"/>
          </w:p>
        </w:tc>
      </w:tr>
      <w:tr>
        <w:trPr/>
        <w:tc>
          <w:tcPr>
            <w:tcW w:w="4280" w:type="dxa"/>
            <w:tcBorders/>
            <w:shd w:fill="FFFFFF" w:val="clear"/>
            <w:vAlign w:val="center"/>
          </w:tcPr>
          <w:p>
            <w:pPr>
              <w:pStyle w:val="TableContents"/>
              <w:bidi w:val="0"/>
              <w:spacing w:before="0" w:after="283"/>
              <w:jc w:val="left"/>
              <w:rPr/>
            </w:pPr>
            <w:r>
              <w:rPr/>
              <w:t>Other accrued expenses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8" w:space="0" w:color="000000"/>
            </w:tcBorders>
            <w:shd w:fill="FFFFFF" w:val="clear"/>
            <w:tcMar>
              <w:bottom w:w="28" w:type="dxa"/>
            </w:tcMar>
            <w:vAlign w:val="center"/>
          </w:tcPr>
          <w:p>
            <w:pPr>
              <w:pStyle w:val="TableContents"/>
              <w:bidi w:val="0"/>
              <w:spacing w:before="0" w:after="283"/>
              <w:jc w:val="right"/>
              <w:rPr/>
            </w:pPr>
            <w:r>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75" w:type="dxa"/>
            <w:tcBorders/>
            <w:shd w:fill="FFFFFF" w:val="clear"/>
            <w:vAlign w:val="center"/>
          </w:tcPr>
          <w:p>
            <w:pPr>
              <w:pStyle w:val="TableContents"/>
              <w:bidi w:val="0"/>
              <w:spacing w:before="0" w:after="283"/>
              <w:jc w:val="left"/>
              <w:rPr/>
            </w:pPr>
            <w:r>
              <w:rPr/>
              <w:t> </w:t>
            </w:r>
            <w:bookmarkStart w:id="534" w:name="xdx_402_eus-gaap--AccountsPayableAndAccr"/>
            <w:bookmarkEnd w:id="534"/>
          </w:p>
        </w:tc>
      </w:tr>
      <w:tr>
        <w:trPr/>
        <w:tc>
          <w:tcPr>
            <w:tcW w:w="4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jc w:val="right"/>
              <w:rPr/>
            </w:pPr>
            <w:r>
              <w:rPr/>
              <w:t>3,179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2,952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35" w:name="xdx_F08_zxELcwWxFQJ8"/>
            <w:bookmarkEnd w:id="535"/>
            <w:r>
              <w:rPr>
                <w:rFonts w:ascii="Times New Roman;Times;Serif" w:hAnsi="Times New Roman;Times;Serif"/>
                <w:b w:val="false"/>
                <w:i w:val="false"/>
                <w:caps w:val="false"/>
                <w:smallCaps w:val="false"/>
                <w:sz w:val="20"/>
              </w:rPr>
              <w:t>(1)</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36" w:name="xdx_F1B_zVbduPXR9dB2"/>
            <w:bookmarkEnd w:id="536"/>
            <w:r>
              <w:rPr>
                <w:rFonts w:ascii="Times New Roman;Times;Serif" w:hAnsi="Times New Roman;Times;Serif"/>
                <w:b w:val="false"/>
                <w:i w:val="false"/>
                <w:caps w:val="false"/>
                <w:smallCaps w:val="false"/>
                <w:sz w:val="20"/>
              </w:rPr>
              <w:t>On August 27, 2025, the Company entered into a premium finance agreement for the policy period beginning August 3, 2025. The total premium was $</w:t>
            </w:r>
            <w:bookmarkStart w:id="537" w:name="xdx_90D_eus-gaap--AccountsPayableCurrent"/>
            <w:bookmarkEnd w:id="537"/>
            <w:r>
              <w:rPr>
                <w:rFonts w:ascii="Times New Roman;Times;Serif" w:hAnsi="Times New Roman;Times;Serif"/>
                <w:b w:val="false"/>
                <w:i w:val="false"/>
                <w:caps w:val="false"/>
                <w:smallCaps w:val="false"/>
                <w:sz w:val="20"/>
              </w:rPr>
              <w:t>2,172, of which $</w:t>
            </w:r>
            <w:bookmarkStart w:id="538" w:name="xdx_901_eus-gaap--AccountsPayableOtherCu"/>
            <w:bookmarkEnd w:id="538"/>
            <w:r>
              <w:rPr>
                <w:rFonts w:ascii="Times New Roman;Times;Serif" w:hAnsi="Times New Roman;Times;Serif"/>
                <w:b w:val="false"/>
                <w:i w:val="false"/>
                <w:caps w:val="false"/>
                <w:smallCaps w:val="false"/>
                <w:sz w:val="20"/>
              </w:rPr>
              <w:t>544 was paid as a down payment and $</w:t>
            </w:r>
            <w:bookmarkStart w:id="539" w:name="xdx_90D_eus-gaap--IncreaseDecreaseInOthe"/>
            <w:bookmarkEnd w:id="539"/>
            <w:r>
              <w:rPr>
                <w:rFonts w:ascii="Times New Roman;Times;Serif" w:hAnsi="Times New Roman;Times;Serif"/>
                <w:b w:val="false"/>
                <w:i w:val="false"/>
                <w:caps w:val="false"/>
                <w:smallCaps w:val="false"/>
                <w:sz w:val="20"/>
              </w:rPr>
              <w:t>1,600 was financed. The agreement includes a finance charge of $</w:t>
            </w:r>
            <w:bookmarkStart w:id="540" w:name="xdx_904_eus-gaap--PaymentsToAcquireFinan"/>
            <w:bookmarkEnd w:id="540"/>
            <w:r>
              <w:rPr>
                <w:rFonts w:ascii="Times New Roman;Times;Serif" w:hAnsi="Times New Roman;Times;Serif"/>
                <w:b w:val="false"/>
                <w:i w:val="false"/>
                <w:caps w:val="false"/>
                <w:smallCaps w:val="false"/>
                <w:sz w:val="20"/>
              </w:rPr>
              <w:t>51, resulting in total payments of $</w:t>
            </w:r>
            <w:bookmarkStart w:id="541" w:name="xdx_900_eus-gaap--AccountsPayableOtherCu"/>
            <w:bookmarkEnd w:id="541"/>
            <w:r>
              <w:rPr>
                <w:rFonts w:ascii="Times New Roman;Times;Serif" w:hAnsi="Times New Roman;Times;Serif"/>
                <w:b w:val="false"/>
                <w:i w:val="false"/>
                <w:caps w:val="false"/>
                <w:smallCaps w:val="false"/>
                <w:sz w:val="20"/>
              </w:rPr>
              <w:t>1,700 payable in nine monthly installments of $</w:t>
            </w:r>
            <w:bookmarkStart w:id="542" w:name="xdx_903_ecustom--AccountsPayableMonthlyI"/>
            <w:bookmarkEnd w:id="542"/>
            <w:r>
              <w:rPr>
                <w:rFonts w:ascii="Times New Roman;Times;Serif" w:hAnsi="Times New Roman;Times;Serif"/>
                <w:b w:val="false"/>
                <w:i w:val="false"/>
                <w:caps w:val="false"/>
                <w:smallCaps w:val="false"/>
                <w:sz w:val="20"/>
              </w:rPr>
              <w:t xml:space="preserve">187 through May 2026 at an annual percentage rate of </w:t>
            </w:r>
            <w:bookmarkStart w:id="543" w:name="xdx_901_ecustom--AnnualPercentageRate_iI"/>
            <w:bookmarkEnd w:id="543"/>
            <w:r>
              <w:rPr>
                <w:rFonts w:ascii="Times New Roman;Times;Serif" w:hAnsi="Times New Roman;Times;Serif"/>
                <w:b w:val="false"/>
                <w:i w:val="false"/>
                <w:caps w:val="false"/>
                <w:smallCaps w:val="false"/>
                <w:sz w:val="20"/>
              </w:rPr>
              <w:t>7.48%. The financing obligation is secured by unearned premiums under the financed policies. As of March 31, 2026, the amount included in prepaid insurance is approximately $</w:t>
            </w:r>
            <w:bookmarkStart w:id="544" w:name="xdx_90D_eus-gaap--PrepaidInsurance_iI_pn"/>
            <w:bookmarkEnd w:id="544"/>
            <w:r>
              <w:rPr>
                <w:rFonts w:ascii="Times New Roman;Times;Serif" w:hAnsi="Times New Roman;Times;Serif"/>
                <w:b w:val="false"/>
                <w:i w:val="false"/>
                <w:caps w:val="false"/>
                <w:smallCaps w:val="false"/>
                <w:sz w:val="20"/>
              </w:rPr>
              <w:t>570 and AFCO loan payable of approximately $</w:t>
            </w:r>
            <w:bookmarkStart w:id="545" w:name="xdx_90A_ecustom--AccruedInsurancePremium"/>
            <w:bookmarkEnd w:id="545"/>
            <w:r>
              <w:rPr>
                <w:rFonts w:ascii="Times New Roman;Times;Serif" w:hAnsi="Times New Roman;Times;Serif"/>
                <w:b w:val="false"/>
                <w:i w:val="false"/>
                <w:caps w:val="false"/>
                <w:smallCaps w:val="false"/>
                <w:sz w:val="20"/>
              </w:rPr>
              <w:t>370. Prepaid insurance is amortized over the policy term, and the financing liability is reduced as payments are made. Interest expense is recognized using the effective interest method.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46" w:name="xdx_F0A_zDZR5aQUjpzk"/>
            <w:bookmarkEnd w:id="546"/>
            <w:r>
              <w:rPr>
                <w:rFonts w:ascii="Times New Roman;Times;Serif" w:hAnsi="Times New Roman;Times;Serif"/>
                <w:b w:val="false"/>
                <w:i w:val="false"/>
                <w:caps w:val="false"/>
                <w:smallCaps w:val="false"/>
                <w:sz w:val="20"/>
              </w:rPr>
              <w:t>(2)</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7" w:name="xdx_F1C_zSzvHUmaOZ3b"/>
            <w:bookmarkEnd w:id="547"/>
            <w:r>
              <w:rPr>
                <w:rFonts w:ascii="Times New Roman;Times;Serif" w:hAnsi="Times New Roman;Times;Serif"/>
                <w:b w:val="false"/>
                <w:i w:val="false"/>
                <w:caps w:val="false"/>
                <w:smallCaps w:val="false"/>
                <w:sz w:val="20"/>
              </w:rPr>
              <w:t>Includes approximately $</w:t>
            </w:r>
            <w:bookmarkStart w:id="548" w:name="xdx_90D_ecustom--OtherSeparationrelatedO"/>
            <w:bookmarkEnd w:id="548"/>
            <w:r>
              <w:rPr>
                <w:rFonts w:ascii="Times New Roman;Times;Serif" w:hAnsi="Times New Roman;Times;Serif"/>
                <w:b w:val="false"/>
                <w:i w:val="false"/>
                <w:caps w:val="false"/>
                <w:smallCaps w:val="false"/>
                <w:sz w:val="20"/>
              </w:rPr>
              <w:t>779 related to severance and other separation-related obligations associated with the Company’s former Chief Financial Officer pursuant to a Separation and General Release Agreement entered into in March 2026. The accrued amount includes cash severance, pro rata bonus components, and other related obligations expected to be paid in accordance with the terms of the agreement.</w:t>
            </w:r>
          </w:p>
        </w:tc>
      </w:tr>
    </w:tbl>
    <w:p>
      <w:pPr>
        <w:pStyle w:val="TextBody"/>
        <w:bidi w:val="0"/>
        <w:spacing w:before="0" w:after="283"/>
        <w:jc w:val="left"/>
        <w:rPr/>
      </w:pPr>
      <w:bookmarkStart w:id="549" w:name="xdx_8AD_zX3l3tTKszZ2"/>
      <w:bookmarkEnd w:id="549"/>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0" w:name="xdx_80B_eus-gaap--DebtDisclosureTextBloc"/>
      <w:bookmarkEnd w:id="550"/>
      <w:r>
        <w:rPr>
          <w:rFonts w:ascii="Times New Roman;Times;Serif" w:hAnsi="Times New Roman;Times;Serif"/>
          <w:b/>
          <w:i w:val="false"/>
          <w:caps w:val="false"/>
          <w:smallCaps w:val="false"/>
          <w:sz w:val="20"/>
        </w:rPr>
        <w:t xml:space="preserve">NOTE 11 – </w:t>
      </w:r>
      <w:bookmarkStart w:id="551" w:name="xdx_828_zw5eavKmPuT"/>
      <w:bookmarkEnd w:id="551"/>
      <w:r>
        <w:rPr>
          <w:rFonts w:ascii="Times New Roman;Times;Serif" w:hAnsi="Times New Roman;Times;Serif"/>
          <w:b/>
          <w:i w:val="false"/>
          <w:caps w:val="false"/>
          <w:smallCaps w:val="false"/>
          <w:sz w:val="20"/>
        </w:rPr>
        <w:t>CONVERTIBLE DEBENTURES AND RELATED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2025 and December 17, 2025, the Company issued two tranches of senior secured convertible debentures to YA II PN, Ltd. (“Yorkville”) (collectively, the “Convertible Debentures”) with aggregate principal of $</w:t>
      </w:r>
      <w:bookmarkStart w:id="552" w:name="xdx_907_eus-gaap--DebtInstrumentFaceAmou"/>
      <w:bookmarkStart w:id="553" w:name="xdx_90F_eus-gaap--DebtInstrumentFaceAmou"/>
      <w:bookmarkEnd w:id="552"/>
      <w:bookmarkEnd w:id="553"/>
      <w:r>
        <w:rPr>
          <w:rFonts w:ascii="Times New Roman;Times;Serif" w:hAnsi="Times New Roman;Times;Serif"/>
          <w:b w:val="false"/>
          <w:i w:val="false"/>
          <w:caps w:val="false"/>
          <w:smallCaps w:val="false"/>
          <w:sz w:val="20"/>
        </w:rPr>
        <w:t>50,000 (each tranche with principal of $</w:t>
      </w:r>
      <w:bookmarkStart w:id="554" w:name="xdx_907_eus-gaap--DebtInstrumentFaceAmou"/>
      <w:bookmarkStart w:id="555" w:name="xdx_900_eus-gaap--DebtInstrumentFaceAmou"/>
      <w:bookmarkEnd w:id="554"/>
      <w:bookmarkEnd w:id="555"/>
      <w:r>
        <w:rPr>
          <w:rFonts w:ascii="Times New Roman;Times;Serif" w:hAnsi="Times New Roman;Times;Serif"/>
          <w:b w:val="false"/>
          <w:i w:val="false"/>
          <w:caps w:val="false"/>
          <w:smallCaps w:val="false"/>
          <w:sz w:val="20"/>
        </w:rPr>
        <w:t>25,000). The Convertible Debentures were issued as part of the Company’s capital-raising strategy to fund operations and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debenture was issued at a purchase price of </w:t>
      </w:r>
      <w:bookmarkStart w:id="556" w:name="xdx_90D_eus-gaap--DebtInstrumentInterest"/>
      <w:bookmarkStart w:id="557" w:name="xdx_906_eus-gaap--DebtInstrumentInterest"/>
      <w:bookmarkEnd w:id="556"/>
      <w:bookmarkEnd w:id="557"/>
      <w:r>
        <w:rPr>
          <w:rFonts w:ascii="Times New Roman;Times;Serif" w:hAnsi="Times New Roman;Times;Serif"/>
          <w:b w:val="false"/>
          <w:i w:val="false"/>
          <w:caps w:val="false"/>
          <w:smallCaps w:val="false"/>
          <w:sz w:val="20"/>
        </w:rPr>
        <w:t xml:space="preserve">96% of principal, bore interest at </w:t>
      </w:r>
      <w:bookmarkStart w:id="558" w:name="xdx_90F_eus-gaap--DebtInstrumentInterest"/>
      <w:bookmarkStart w:id="559" w:name="xdx_907_eus-gaap--DebtInstrumentInterest"/>
      <w:bookmarkEnd w:id="558"/>
      <w:bookmarkEnd w:id="559"/>
      <w:r>
        <w:rPr>
          <w:rFonts w:ascii="Times New Roman;Times;Serif" w:hAnsi="Times New Roman;Times;Serif"/>
          <w:b w:val="false"/>
          <w:i w:val="false"/>
          <w:caps w:val="false"/>
          <w:smallCaps w:val="false"/>
          <w:sz w:val="20"/>
        </w:rPr>
        <w:t xml:space="preserve">4.0% per annum (increasing to </w:t>
      </w:r>
      <w:bookmarkStart w:id="560" w:name="xdx_90F_eus-gaap--DebtInstrumentInterest"/>
      <w:bookmarkStart w:id="561" w:name="xdx_908_eus-gaap--DebtInstrumentInterest"/>
      <w:bookmarkEnd w:id="560"/>
      <w:bookmarkEnd w:id="561"/>
      <w:r>
        <w:rPr>
          <w:rFonts w:ascii="Times New Roman;Times;Serif" w:hAnsi="Times New Roman;Times;Serif"/>
          <w:b w:val="false"/>
          <w:i w:val="false"/>
          <w:caps w:val="false"/>
          <w:smallCaps w:val="false"/>
          <w:sz w:val="20"/>
        </w:rPr>
        <w:t>18.0% upon an event of default), and had a contractual maturity date that was 24 months from issuance (November 4, 2027 and December 17, 2027,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Debentures were secured by first-priority liens on substantially all assets of the Company and were guaranteed by certain subsidiaries. Upon settlement in February 2026, all related security interests and liens were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could convert all or any portion of the outstanding principal and accrued interest into shares of the Company’s common stock at a conversion price equal to the lower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fixed price of $</w:t>
      </w:r>
      <w:bookmarkStart w:id="562" w:name="xdx_902_eus-gaap--DebtInstrumentConverti"/>
      <w:bookmarkEnd w:id="562"/>
      <w:r>
        <w:rPr>
          <w:rFonts w:ascii="Times New Roman;Times;Serif" w:hAnsi="Times New Roman;Times;Serif"/>
          <w:b w:val="false"/>
          <w:i w:val="false"/>
          <w:caps w:val="false"/>
          <w:smallCaps w:val="false"/>
          <w:sz w:val="20"/>
        </w:rPr>
        <w:t>6.016 per share, subject to a one-time downward-only reset following registration effectiveness,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97% of the lowest daily volume-weighted average price (“VWAP”) during the three trading days immediately preceding conversion, subject to a $</w:t>
      </w:r>
      <w:bookmarkStart w:id="563" w:name="xdx_90D_eus-gaap--SharesIssuedPricePerSh"/>
      <w:bookmarkEnd w:id="563"/>
      <w:r>
        <w:rPr>
          <w:rFonts w:ascii="Times New Roman;Times;Serif" w:hAnsi="Times New Roman;Times;Serif"/>
          <w:b w:val="false"/>
          <w:i w:val="false"/>
          <w:caps w:val="false"/>
          <w:smallCaps w:val="false"/>
          <w:sz w:val="20"/>
        </w:rPr>
        <w:t>4.00 per share floor price, in each case subject to customary 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 were also subject to a beneficial ownership limitation (generally 4.99%) and an exchange cap tied to Nasdaq rules, unless stockholder approval was obtained or the limitation was otherwise waived pursuant to the debenture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fully converted at the $</w:t>
      </w:r>
      <w:bookmarkStart w:id="564" w:name="xdx_90B_eus-gaap--SharesIssuedPricePerSh"/>
      <w:bookmarkEnd w:id="564"/>
      <w:r>
        <w:rPr>
          <w:rFonts w:ascii="Times New Roman;Times;Serif" w:hAnsi="Times New Roman;Times;Serif"/>
          <w:b w:val="false"/>
          <w:i w:val="false"/>
          <w:caps w:val="false"/>
          <w:smallCaps w:val="false"/>
          <w:sz w:val="20"/>
        </w:rPr>
        <w:t>4.00 floor price, the $</w:t>
      </w:r>
      <w:bookmarkStart w:id="565" w:name="xdx_901_eus-gaap--ConvertibleDebt_iI_pn3"/>
      <w:bookmarkEnd w:id="565"/>
      <w:r>
        <w:rPr>
          <w:rFonts w:ascii="Times New Roman;Times;Serif" w:hAnsi="Times New Roman;Times;Serif"/>
          <w:b w:val="false"/>
          <w:i w:val="false"/>
          <w:caps w:val="false"/>
          <w:smallCaps w:val="false"/>
          <w:sz w:val="20"/>
        </w:rPr>
        <w:t xml:space="preserve">50,000 principal amount of the Convertible Debentures would have been convertible into a maximum of </w:t>
      </w:r>
      <w:bookmarkStart w:id="566" w:name="xdx_906_eus-gaap--StockIssuedDuringPerio"/>
      <w:bookmarkEnd w:id="566"/>
      <w:r>
        <w:rPr>
          <w:rFonts w:ascii="Times New Roman;Times;Serif" w:hAnsi="Times New Roman;Times;Serif"/>
          <w:b w:val="false"/>
          <w:i w:val="false"/>
          <w:caps w:val="false"/>
          <w:smallCaps w:val="false"/>
          <w:sz w:val="20"/>
        </w:rPr>
        <w:t>12,500,000 shares of the Company’s common stock, exclusive of any shares issuable for accrued interest or premiums. The Company did not register any shares for issuance under the Convertible Debentures and elected to utilize its optional cash settlement provisions in February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Embedded Derivative Liability – Conversion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holder’s optional conversion feature requires bifurcation as an embedded derivative under ASC 815, Derivatives and Hedging, because (i) the economic characteristics of the conversion feature were not clearly and closely related to the host debt instrument and (ii) the conversion feature did not qualify for equity classification due to its variable conversion pricing mechanics, including VWAP-based pricing, floor price provisions, and reset features.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embedded conversion option was accounted for separately as a derivative liability measured at fair value, with changes in fair value recognized in earnings each reporting period. At issuance, the Company allocated proceeds between the host debt and the embedded derivative based on relative fair value, with the derivative recorded as a liability and a corresponding amount recorded as a debt discount on the host debenture. This debt discount was amortized to interest expense using the effective interest method over the estimated term of the debenture. As of March 31, 2026, the embedded derivative liability was fully settled and no balance remained outstanding. See Note 12, Fair Value Measurements, for information regarding the valuation methodology, significant unobservable inputs, sensitivity considerations, changes in fair value, the tabular presentation of gains and losses on derivative instruments recognized in earnings as required by ASC 815, and the Level 3 rollforward of the embedded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designate any derivative instruments as hedging instruments for accounting purposes and does not apply hedge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Carrying Amount and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carrying value of the Convertible Debentures, net of unamortized original issue discount, debt issuance costs, and bifurcation-related discounts, was $</w:t>
      </w:r>
      <w:bookmarkStart w:id="567" w:name="xdx_900_eus-gaap--DebtInstrumentFairValu"/>
      <w:bookmarkEnd w:id="567"/>
      <w:r>
        <w:rPr>
          <w:rFonts w:ascii="Times New Roman;Times;Serif" w:hAnsi="Times New Roman;Times;Serif"/>
          <w:b w:val="false"/>
          <w:i w:val="false"/>
          <w:caps w:val="false"/>
          <w:smallCaps w:val="false"/>
          <w:sz w:val="20"/>
        </w:rPr>
        <w:t>0 on a combined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for the three months ended March 31, 2026 includes stated coupon interest and amortization of debt discounts and issuance costs under the effective interest method. For the three months ended March 31, 2026, the Company recognized total interest expense of approximately $</w:t>
      </w:r>
      <w:bookmarkStart w:id="568" w:name="xdx_900_eus-gaap--InterestExpense_pn3n3_"/>
      <w:bookmarkEnd w:id="568"/>
      <w:r>
        <w:rPr>
          <w:rFonts w:ascii="Times New Roman;Times;Serif" w:hAnsi="Times New Roman;Times;Serif"/>
          <w:b w:val="false"/>
          <w:i w:val="false"/>
          <w:caps w:val="false"/>
          <w:smallCaps w:val="false"/>
          <w:sz w:val="20"/>
        </w:rPr>
        <w:t>12,182 related to the Convertible Debentures, consisting of approximately $</w:t>
      </w:r>
      <w:bookmarkStart w:id="569" w:name="xdx_909_eus-gaap--ConvertibleDebt_iI_pn3"/>
      <w:bookmarkEnd w:id="569"/>
      <w:r>
        <w:rPr>
          <w:rFonts w:ascii="Times New Roman;Times;Serif" w:hAnsi="Times New Roman;Times;Serif"/>
          <w:b w:val="false"/>
          <w:i w:val="false"/>
          <w:caps w:val="false"/>
          <w:smallCaps w:val="false"/>
          <w:sz w:val="20"/>
        </w:rPr>
        <w:t>203 of contractual interest and approximately $</w:t>
      </w:r>
      <w:bookmarkStart w:id="570" w:name="xdx_902_eus-gaap--AmortizationOfDebtDisc"/>
      <w:bookmarkEnd w:id="570"/>
      <w:r>
        <w:rPr>
          <w:rFonts w:ascii="Times New Roman;Times;Serif" w:hAnsi="Times New Roman;Times;Serif"/>
          <w:b w:val="false"/>
          <w:i w:val="false"/>
          <w:caps w:val="false"/>
          <w:smallCaps w:val="false"/>
          <w:sz w:val="20"/>
        </w:rPr>
        <w:t>11,979 of non-cash interest expense from the amortization of discounts and issuance costs. Interest expense is included in “Interest expense, net”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interest rate on the Convertible Debentures substantially exceeded the </w:t>
      </w:r>
      <w:bookmarkStart w:id="571" w:name="xdx_902_eus-gaap--DebtInstrumentInterest"/>
      <w:bookmarkEnd w:id="571"/>
      <w:r>
        <w:rPr>
          <w:rFonts w:ascii="Times New Roman;Times;Serif" w:hAnsi="Times New Roman;Times;Serif"/>
          <w:b w:val="false"/>
          <w:i w:val="false"/>
          <w:caps w:val="false"/>
          <w:smallCaps w:val="false"/>
          <w:sz w:val="20"/>
        </w:rPr>
        <w:t xml:space="preserve">4.0% stated coupon rate. On December 29, 2025, management committed to a plan to settle the Convertible Debentures in early 2026, which constituted a change in the estimated life of the instruments. The Company prospectively recalculated the effective interest rates based on the revised expected settlement date of February 6, 2026. The resulting effective interest rates for the November 4, 2025 tranche and the December 17, 2025 tranche were approximately </w:t>
      </w:r>
      <w:bookmarkStart w:id="572" w:name="xdx_90C_eus-gaap--DebtInstrumentInterest"/>
      <w:bookmarkEnd w:id="572"/>
      <w:r>
        <w:rPr>
          <w:rFonts w:ascii="Times New Roman;Times;Serif" w:hAnsi="Times New Roman;Times;Serif"/>
          <w:b w:val="false"/>
          <w:i w:val="false"/>
          <w:caps w:val="false"/>
          <w:smallCaps w:val="false"/>
          <w:sz w:val="20"/>
        </w:rPr>
        <w:t xml:space="preserve">393.7% and </w:t>
      </w:r>
      <w:bookmarkStart w:id="573" w:name="xdx_90B_eus-gaap--DebtInstrumentInterest"/>
      <w:bookmarkEnd w:id="573"/>
      <w:r>
        <w:rPr>
          <w:rFonts w:ascii="Times New Roman;Times;Serif" w:hAnsi="Times New Roman;Times;Serif"/>
          <w:b w:val="false"/>
          <w:i w:val="false"/>
          <w:caps w:val="false"/>
          <w:smallCaps w:val="false"/>
          <w:sz w:val="20"/>
        </w:rPr>
        <w:t xml:space="preserve">228.9%, respectively, reflecting the accelerated amortization of unamortized discounts and issuance costs over a significantly shortened expected term. These revised rates were applied from December 29, 2025 through the settlement date of February 6, 2026, and are the basis for the non-cash interest expense from the accelerated amortization of discounts and issuance costs described above. Upon settlement, all remaining unamortized discounts and issuance costs were fully amortized and the net carrying value of the Convertible Debentures was reduced to zero. Had the Convertible Debentures been held to their contractual maturity dates of November 4, 2027 and December 17, 2027, respectively, the effective interest rates would have been approximately </w:t>
      </w:r>
      <w:bookmarkStart w:id="574" w:name="xdx_906_eus-gaap--DebtInstrumentInterest"/>
      <w:bookmarkEnd w:id="574"/>
      <w:r>
        <w:rPr>
          <w:rFonts w:ascii="Times New Roman;Times;Serif" w:hAnsi="Times New Roman;Times;Serif"/>
          <w:b w:val="false"/>
          <w:i w:val="false"/>
          <w:caps w:val="false"/>
          <w:smallCaps w:val="false"/>
          <w:sz w:val="20"/>
        </w:rPr>
        <w:t>17.6% and 26.5%, respectively, still materially higher than the stated coupon due to the substantial original issue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outstanding principal balance of the Convertible Debentures was $</w:t>
      </w:r>
      <w:bookmarkStart w:id="575" w:name="xdx_907_eus-gaap--DebtInstrumentIssuedPr"/>
      <w:bookmarkEnd w:id="575"/>
      <w:r>
        <w:rPr>
          <w:rFonts w:ascii="Times New Roman;Times;Serif" w:hAnsi="Times New Roman;Times;Serif"/>
          <w:b w:val="false"/>
          <w:i w:val="false"/>
          <w:caps w:val="false"/>
          <w:smallCaps w:val="false"/>
          <w:sz w:val="20"/>
        </w:rPr>
        <w:t>0 and $</w:t>
      </w:r>
      <w:bookmarkStart w:id="576" w:name="xdx_906_eus-gaap--DebtInstrumentIssuedPr"/>
      <w:bookmarkEnd w:id="576"/>
      <w:r>
        <w:rPr>
          <w:rFonts w:ascii="Times New Roman;Times;Serif" w:hAnsi="Times New Roman;Times;Serif"/>
          <w:b w:val="false"/>
          <w:i w:val="false"/>
          <w:caps w:val="false"/>
          <w:smallCaps w:val="false"/>
          <w:sz w:val="20"/>
        </w:rPr>
        <w:t>50,000,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and Extinguishment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delivered an irrevocable optional prepayment notice with respect to the Convertible Debentures.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the Company settled the Convertible Debentures, which had an aggregate outstanding principal of $</w:t>
      </w:r>
      <w:bookmarkStart w:id="577" w:name="xdx_90B_eus-gaap--DebtInstrumentFeeAmoun"/>
      <w:bookmarkEnd w:id="577"/>
      <w:r>
        <w:rPr>
          <w:rFonts w:ascii="Times New Roman;Times;Serif" w:hAnsi="Times New Roman;Times;Serif"/>
          <w:b w:val="false"/>
          <w:i w:val="false"/>
          <w:caps w:val="false"/>
          <w:smallCaps w:val="false"/>
          <w:sz w:val="20"/>
        </w:rPr>
        <w:t>50,000 and a net carrying value of $</w:t>
      </w:r>
      <w:bookmarkStart w:id="578" w:name="xdx_90A_eus-gaap--ConvertibleNotesPayabl"/>
      <w:bookmarkEnd w:id="578"/>
      <w:r>
        <w:rPr>
          <w:rFonts w:ascii="Times New Roman;Times;Serif" w:hAnsi="Times New Roman;Times;Serif"/>
          <w:b w:val="false"/>
          <w:i w:val="false"/>
          <w:caps w:val="false"/>
          <w:smallCaps w:val="false"/>
          <w:sz w:val="20"/>
        </w:rPr>
        <w:t>38,021 (after unamortized debt discounts of $</w:t>
      </w:r>
      <w:bookmarkStart w:id="579" w:name="xdx_90D_eus-gaap--DebtInstrumentUnamorti"/>
      <w:bookmarkEnd w:id="579"/>
      <w:r>
        <w:rPr>
          <w:rFonts w:ascii="Times New Roman;Times;Serif" w:hAnsi="Times New Roman;Times;Serif"/>
          <w:b w:val="false"/>
          <w:i w:val="false"/>
          <w:caps w:val="false"/>
          <w:smallCaps w:val="false"/>
          <w:sz w:val="20"/>
        </w:rPr>
        <w:t>11,979 as of December 31, 2025), through a combination of (i) a cash payoff of approximately $</w:t>
      </w:r>
      <w:bookmarkStart w:id="580" w:name="xdx_903_eus-gaap--Cash_iI_pn3n3_c2026020"/>
      <w:bookmarkEnd w:id="580"/>
      <w:r>
        <w:rPr>
          <w:rFonts w:ascii="Times New Roman;Times;Serif" w:hAnsi="Times New Roman;Times;Serif"/>
          <w:b w:val="false"/>
          <w:i w:val="false"/>
          <w:caps w:val="false"/>
          <w:smallCaps w:val="false"/>
          <w:sz w:val="20"/>
        </w:rPr>
        <w:t>38,903, consisting of $</w:t>
      </w:r>
      <w:bookmarkStart w:id="581" w:name="xdx_90D_eus-gaap--DebtInstrumentFaceAmou"/>
      <w:bookmarkEnd w:id="581"/>
      <w:r>
        <w:rPr>
          <w:rFonts w:ascii="Times New Roman;Times;Serif" w:hAnsi="Times New Roman;Times;Serif"/>
          <w:b w:val="false"/>
          <w:i w:val="false"/>
          <w:caps w:val="false"/>
          <w:smallCaps w:val="false"/>
          <w:sz w:val="20"/>
        </w:rPr>
        <w:t>35,000 of principal, a $</w:t>
      </w:r>
      <w:bookmarkStart w:id="582" w:name="xdx_900_eus-gaap--DebtInstrumentPeriodic"/>
      <w:bookmarkEnd w:id="582"/>
      <w:r>
        <w:rPr>
          <w:rFonts w:ascii="Times New Roman;Times;Serif" w:hAnsi="Times New Roman;Times;Serif"/>
          <w:b w:val="false"/>
          <w:i w:val="false"/>
          <w:caps w:val="false"/>
          <w:smallCaps w:val="false"/>
          <w:sz w:val="20"/>
        </w:rPr>
        <w:t>3,500 prepayment premium, and approximately $</w:t>
      </w:r>
      <w:bookmarkStart w:id="583" w:name="xdx_902_eus-gaap--DebtInstrumentIncrease"/>
      <w:bookmarkEnd w:id="583"/>
      <w:r>
        <w:rPr>
          <w:rFonts w:ascii="Times New Roman;Times;Serif" w:hAnsi="Times New Roman;Times;Serif"/>
          <w:b w:val="false"/>
          <w:i w:val="false"/>
          <w:caps w:val="false"/>
          <w:smallCaps w:val="false"/>
          <w:sz w:val="20"/>
        </w:rPr>
        <w:t>403 of accrued interest, and (ii) conversion of $</w:t>
      </w:r>
      <w:bookmarkStart w:id="584" w:name="xdx_90A_eus-gaap--DebtConversionConverte"/>
      <w:bookmarkEnd w:id="584"/>
      <w:r>
        <w:rPr>
          <w:rFonts w:ascii="Times New Roman;Times;Serif" w:hAnsi="Times New Roman;Times;Serif"/>
          <w:b w:val="false"/>
          <w:i w:val="false"/>
          <w:caps w:val="false"/>
          <w:smallCaps w:val="false"/>
          <w:sz w:val="20"/>
        </w:rPr>
        <w:t>15,000 of principal, with no accrued interest, at a conversion price of $</w:t>
      </w:r>
      <w:bookmarkStart w:id="585" w:name="xdx_90B_eus-gaap--DebtInstrumentConverti"/>
      <w:bookmarkEnd w:id="585"/>
      <w:r>
        <w:rPr>
          <w:rFonts w:ascii="Times New Roman;Times;Serif" w:hAnsi="Times New Roman;Times;Serif"/>
          <w:b w:val="false"/>
          <w:i w:val="false"/>
          <w:caps w:val="false"/>
          <w:smallCaps w:val="false"/>
          <w:sz w:val="20"/>
        </w:rPr>
        <w:t xml:space="preserve">4.00 per share, resulting in the issuance of </w:t>
      </w:r>
      <w:bookmarkStart w:id="586" w:name="xdx_90F_eus-gaap--StockIssuedDuringPerio"/>
      <w:bookmarkEnd w:id="586"/>
      <w:r>
        <w:rPr>
          <w:rFonts w:ascii="Times New Roman;Times;Serif" w:hAnsi="Times New Roman;Times;Serif"/>
          <w:b w:val="false"/>
          <w:i w:val="false"/>
          <w:caps w:val="false"/>
          <w:smallCaps w:val="false"/>
          <w:sz w:val="20"/>
        </w:rPr>
        <w:t>3,750,000 shares of the Company’s common stock.</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unamortized debt discounts of $</w:t>
      </w:r>
      <w:bookmarkStart w:id="587" w:name="xdx_903_eus-gaap--DebtInstrumentUnamorti"/>
      <w:bookmarkEnd w:id="587"/>
      <w:r>
        <w:rPr>
          <w:rFonts w:ascii="Times New Roman;Times;Serif" w:hAnsi="Times New Roman;Times;Serif"/>
          <w:b w:val="false"/>
          <w:i w:val="false"/>
          <w:caps w:val="false"/>
          <w:smallCaps w:val="false"/>
          <w:sz w:val="20"/>
        </w:rPr>
        <w:t>11,979 were fully amortized to interest expense upon settlement during the three months ended March 31, 2026, and are included in “Interest expense, net” in the unaudited condensed consolidated statements of operations.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88" w:name="xdx_89E_eus-gaap--ScheduleOfExtinguishme"/>
      <w:bookmarkEnd w:id="588"/>
      <w:r>
        <w:rPr>
          <w:rFonts w:ascii="Times New Roman;Times;Serif" w:hAnsi="Times New Roman;Times;Serif"/>
          <w:b w:val="false"/>
          <w:i w:val="false"/>
          <w:caps w:val="false"/>
          <w:smallCaps w:val="false"/>
          <w:sz w:val="20"/>
        </w:rPr>
        <w:t>In connection with the settlement, the Company recognized the following:</w:t>
      </w:r>
    </w:p>
    <w:p>
      <w:pPr>
        <w:pStyle w:val="TextBody"/>
        <w:shd w:fill="FFFFFF" w:val="clear"/>
        <w:bidi w:val="0"/>
        <w:spacing w:before="0" w:after="0"/>
        <w:ind w:left="0" w:right="0" w:hanging="0"/>
        <w:jc w:val="both"/>
        <w:rPr>
          <w:caps w:val="false"/>
          <w:smallCaps w:val="false"/>
        </w:rPr>
      </w:pPr>
      <w:r>
        <w:rPr>
          <w:caps w:val="false"/>
          <w:smallCaps w:val="false"/>
        </w:rPr>
        <w:t> </w:t>
      </w:r>
      <w:bookmarkStart w:id="589" w:name="xdx_8BD_zg2wNq4fW8hj"/>
      <w:bookmarkEnd w:id="589"/>
      <w:r>
        <w:rPr>
          <w:rFonts w:ascii="Times New Roman;Times;Serif" w:hAnsi="Times New Roman;Times;Serif"/>
          <w:b w:val="false"/>
          <w:i w:val="false"/>
          <w:caps w:val="false"/>
          <w:smallCaps w:val="false"/>
          <w:sz w:val="20"/>
        </w:rPr>
        <w:t>SCHEDULE OF SETTLEMENT</w:t>
      </w:r>
    </w:p>
    <w:tbl>
      <w:tblPr>
        <w:tblW w:w="8045" w:type="dxa"/>
        <w:jc w:val="left"/>
        <w:tblInd w:w="0" w:type="dxa"/>
        <w:tblLayout w:type="fixed"/>
        <w:tblCellMar>
          <w:top w:w="0" w:type="dxa"/>
          <w:left w:w="0" w:type="dxa"/>
          <w:bottom w:w="0" w:type="dxa"/>
          <w:right w:w="0" w:type="dxa"/>
        </w:tblCellMar>
      </w:tblPr>
      <w:tblGrid>
        <w:gridCol w:w="7100"/>
        <w:gridCol w:w="60"/>
        <w:gridCol w:w="140"/>
        <w:gridCol w:w="635"/>
        <w:gridCol w:w="110"/>
      </w:tblGrid>
      <w:tr>
        <w:trPr/>
        <w:tc>
          <w:tcPr>
            <w:tcW w:w="71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90" w:name="xdx_493_20260101__20260331_zqmxawIimbw8"/>
            <w:bookmarkEnd w:id="590"/>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91" w:name="xdx_400_eus-gaap--ExtinguishmentOfDebtAm"/>
            <w:bookmarkEnd w:id="591"/>
          </w:p>
        </w:tc>
      </w:tr>
      <w:tr>
        <w:trPr/>
        <w:tc>
          <w:tcPr>
            <w:tcW w:w="7100" w:type="dxa"/>
            <w:tcBorders/>
            <w:shd w:fill="CCEEFF" w:val="clear"/>
            <w:vAlign w:val="center"/>
          </w:tcPr>
          <w:p>
            <w:pPr>
              <w:pStyle w:val="TableContents"/>
              <w:bidi w:val="0"/>
              <w:spacing w:before="0" w:after="283"/>
              <w:jc w:val="both"/>
              <w:rPr/>
            </w:pPr>
            <w:r>
              <w:rPr/>
              <w:t>Loss on extinguishment of convertible debentures — prepayment premium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(3,500</w:t>
            </w:r>
          </w:p>
        </w:tc>
        <w:tc>
          <w:tcPr>
            <w:tcW w:w="110" w:type="dxa"/>
            <w:tcBorders/>
            <w:shd w:fill="CCEEFF" w:val="clear"/>
            <w:vAlign w:val="center"/>
          </w:tcPr>
          <w:p>
            <w:pPr>
              <w:pStyle w:val="TableContents"/>
              <w:bidi w:val="0"/>
              <w:spacing w:before="0" w:after="283"/>
              <w:jc w:val="left"/>
              <w:rPr/>
            </w:pPr>
            <w:r>
              <w:rPr/>
              <w:t>)</w:t>
            </w:r>
            <w:bookmarkStart w:id="592" w:name="xdx_409_eus-gaap--EmbeddedDerivativeGain"/>
            <w:bookmarkEnd w:id="592"/>
          </w:p>
        </w:tc>
      </w:tr>
      <w:tr>
        <w:trPr/>
        <w:tc>
          <w:tcPr>
            <w:tcW w:w="7100" w:type="dxa"/>
            <w:tcBorders/>
            <w:shd w:fill="FFFFFF" w:val="clear"/>
            <w:vAlign w:val="center"/>
          </w:tcPr>
          <w:p>
            <w:pPr>
              <w:pStyle w:val="TableContents"/>
              <w:bidi w:val="0"/>
              <w:spacing w:before="0" w:after="283"/>
              <w:jc w:val="both"/>
              <w:rPr/>
            </w:pPr>
            <w:r>
              <w:rPr/>
              <w:t>Gain on derecognition of embedded derivative at settlement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443</w:t>
            </w:r>
          </w:p>
        </w:tc>
        <w:tc>
          <w:tcPr>
            <w:tcW w:w="110" w:type="dxa"/>
            <w:tcBorders/>
            <w:shd w:fill="FFFFFF" w:val="clear"/>
            <w:vAlign w:val="center"/>
          </w:tcPr>
          <w:p>
            <w:pPr>
              <w:pStyle w:val="TableContents"/>
              <w:bidi w:val="0"/>
              <w:spacing w:before="0" w:after="283"/>
              <w:jc w:val="left"/>
              <w:rPr/>
            </w:pPr>
            <w:r>
              <w:rPr/>
              <w:t> </w:t>
            </w:r>
            <w:bookmarkStart w:id="593" w:name="xdx_40D_eus-gaap--DebtSecuritiesRealized"/>
            <w:bookmarkEnd w:id="593"/>
          </w:p>
        </w:tc>
      </w:tr>
      <w:tr>
        <w:trPr/>
        <w:tc>
          <w:tcPr>
            <w:tcW w:w="7100" w:type="dxa"/>
            <w:tcBorders/>
            <w:shd w:fill="CCEEFF" w:val="clear"/>
            <w:vAlign w:val="center"/>
          </w:tcPr>
          <w:p>
            <w:pPr>
              <w:pStyle w:val="TableContents"/>
              <w:bidi w:val="0"/>
              <w:spacing w:before="0" w:after="283"/>
              <w:jc w:val="both"/>
              <w:rPr/>
            </w:pPr>
            <w:r>
              <w:rPr/>
              <w:t>Realized loss on extinguishment of convertible debentures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(3,057</w:t>
            </w:r>
          </w:p>
        </w:tc>
        <w:tc>
          <w:tcPr>
            <w:tcW w:w="11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both"/>
        <w:rPr>
          <w:caps w:val="false"/>
          <w:smallCaps w:val="false"/>
        </w:rPr>
      </w:pPr>
      <w:bookmarkStart w:id="594" w:name="xdx_8A0_zkIb9D45fLq9"/>
      <w:bookmarkEnd w:id="594"/>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in full, the Convertible Debentures were satisfied and terminated, and all related security interests and liens were released.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a SEPA with Yorkville that provided the Company with the right, but not the obligation, to sell shares of common stock during the commitment period. We terminated the SEPA effective January 29, 2026, and did not sell any shares under the SEPA.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Cross-references to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Derivative-related qualitative, quantitative, and tabular disclosures are included in more than one note to the unaudited condensed consolidated financial statements. Accordingly, the Company provides the following cross-references: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 Business Acquisition (Exchangeable Shares issued as consideration and related acquisition disclosures)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12 — Fair Value Measurements (fair value hierarchy and valuation inputs for Level 3 instruments, as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13 — Stockholders’ Equity (Exchangeable Shares and Special Voting Preferred Stock; reclassification to equity)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14 — Options, Restricted Stock Units and Warrants (warrant terms and Fundamental Transaction cash settlement / repurchase activity)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5" w:name="xdx_80B_eus-gaap--FairValueDisclosuresTe"/>
      <w:bookmarkEnd w:id="595"/>
      <w:r>
        <w:rPr>
          <w:rFonts w:ascii="Times New Roman;Times;Serif" w:hAnsi="Times New Roman;Times;Serif"/>
          <w:b/>
          <w:i w:val="false"/>
          <w:caps w:val="false"/>
          <w:smallCaps w:val="false"/>
          <w:sz w:val="20"/>
        </w:rPr>
        <w:t xml:space="preserve">NOTE 12 – </w:t>
      </w:r>
      <w:bookmarkStart w:id="596" w:name="xdx_826_zqKu6q9ARqHa"/>
      <w:bookmarkEnd w:id="596"/>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certain financial instruments at fair value on a recurring basis in accordance with ASC 820, Fair Value Measurement. Fair value is defined as the price that would be received to sell an asset or paid to transfer a liability in an orderly transaction between market participants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that are measured at fair value on a nonrecurring basis relate primarily to tangible property and equipment, goodwill and other intangible assets, which are remeasured when the derived fair value is below carrying value in the consolidated balance sheets. For these assets, the Company does not periodically adjust carrying value to fair value except in the event of impairment. If it is determined that impairment has occurred, the carrying value of the asset is reduced to fair value and the difference is included in impairments and other charges,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Nonrecurring Level 3 Fair Value Measurements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7" w:name="xdx_896_eus-gaap--FairValueAssetsMeasure"/>
      <w:bookmarkEnd w:id="597"/>
      <w:r>
        <w:rPr>
          <w:rFonts w:ascii="Times New Roman;Times;Serif" w:hAnsi="Times New Roman;Times;Serif"/>
          <w:b w:val="false"/>
          <w:i w:val="false"/>
          <w:caps w:val="false"/>
          <w:smallCaps w:val="false"/>
          <w:sz w:val="20"/>
        </w:rPr>
        <w:t>Assets that are measured at fair value and classified as level 3 on a nonrecurring basis are as follows:</w:t>
      </w:r>
    </w:p>
    <w:p>
      <w:pPr>
        <w:pStyle w:val="TextBody"/>
        <w:bidi w:val="0"/>
        <w:spacing w:before="0" w:after="0"/>
        <w:ind w:left="0" w:right="0" w:hanging="0"/>
        <w:jc w:val="both"/>
        <w:rPr>
          <w:caps w:val="false"/>
          <w:smallCaps w:val="false"/>
        </w:rPr>
      </w:pPr>
      <w:r>
        <w:rPr>
          <w:caps w:val="false"/>
          <w:smallCaps w:val="false"/>
        </w:rPr>
        <w:t> </w:t>
      </w:r>
      <w:bookmarkStart w:id="598" w:name="xdx_8B6_zyeyCvUHEFs8"/>
      <w:bookmarkEnd w:id="598"/>
      <w:r>
        <w:rPr>
          <w:rFonts w:ascii="Times New Roman;Times;Serif" w:hAnsi="Times New Roman;Times;Serif"/>
          <w:b w:val="false"/>
          <w:i w:val="false"/>
          <w:caps w:val="false"/>
          <w:smallCaps w:val="false"/>
          <w:sz w:val="20"/>
        </w:rPr>
        <w:t>SCHEDULE OF ASSETS MEASURED AT FAIR VALUE ON NONRECURRING BASIS</w:t>
      </w:r>
    </w:p>
    <w:tbl>
      <w:tblPr>
        <w:tblW w:w="4704" w:type="dxa"/>
        <w:jc w:val="left"/>
        <w:tblInd w:w="0" w:type="dxa"/>
        <w:tblLayout w:type="fixed"/>
        <w:tblCellMar>
          <w:top w:w="0" w:type="dxa"/>
          <w:left w:w="0" w:type="dxa"/>
          <w:bottom w:w="28" w:type="dxa"/>
          <w:right w:w="0" w:type="dxa"/>
        </w:tblCellMar>
      </w:tblPr>
      <w:tblGrid>
        <w:gridCol w:w="3215"/>
        <w:gridCol w:w="60"/>
        <w:gridCol w:w="231"/>
        <w:gridCol w:w="1123"/>
        <w:gridCol w:w="75"/>
      </w:tblGrid>
      <w:tr>
        <w:trPr/>
        <w:tc>
          <w:tcPr>
            <w:tcW w:w="3215" w:type="dxa"/>
            <w:tcBorders>
              <w:bottom w:val="single" w:sz="8" w:space="0" w:color="000000"/>
            </w:tcBorders>
            <w:vAlign w:val="center"/>
          </w:tcPr>
          <w:p>
            <w:pPr>
              <w:pStyle w:val="TableContents"/>
              <w:bidi w:val="0"/>
              <w:spacing w:before="0" w:after="283"/>
              <w:jc w:val="both"/>
              <w:rPr/>
            </w:pPr>
            <w:r>
              <w:rPr/>
              <w:t>Description</w:t>
            </w:r>
          </w:p>
        </w:tc>
        <w:tc>
          <w:tcPr>
            <w:tcW w:w="60" w:type="dxa"/>
            <w:tcBorders/>
            <w:tcMar>
              <w:bottom w:w="0" w:type="dxa"/>
            </w:tcMar>
            <w:vAlign w:val="center"/>
          </w:tcPr>
          <w:p>
            <w:pPr>
              <w:pStyle w:val="TableContents"/>
              <w:bidi w:val="0"/>
              <w:spacing w:before="0" w:after="283"/>
              <w:jc w:val="left"/>
              <w:rPr/>
            </w:pPr>
            <w:r>
              <w:rPr/>
              <w:t> </w:t>
            </w:r>
            <w:bookmarkStart w:id="599" w:name="xdx_495_20250528__us-gaap--FairValueByFa"/>
            <w:bookmarkEnd w:id="599"/>
          </w:p>
        </w:tc>
        <w:tc>
          <w:tcPr>
            <w:tcW w:w="1354" w:type="dxa"/>
            <w:gridSpan w:val="2"/>
            <w:tcBorders>
              <w:bottom w:val="single" w:sz="8" w:space="0" w:color="000000"/>
            </w:tcBorders>
            <w:vAlign w:val="center"/>
          </w:tcPr>
          <w:p>
            <w:pPr>
              <w:pStyle w:val="TableContents"/>
              <w:bidi w:val="0"/>
              <w:spacing w:before="0" w:after="283"/>
              <w:jc w:val="center"/>
              <w:rPr/>
            </w:pPr>
            <w:r>
              <w:rPr/>
              <w:t>May 28, 2025</w:t>
            </w:r>
          </w:p>
        </w:tc>
        <w:tc>
          <w:tcPr>
            <w:tcW w:w="75" w:type="dxa"/>
            <w:tcBorders/>
            <w:tcMar>
              <w:bottom w:w="0" w:type="dxa"/>
            </w:tcMar>
            <w:vAlign w:val="center"/>
          </w:tcPr>
          <w:p>
            <w:pPr>
              <w:pStyle w:val="TableContents"/>
              <w:bidi w:val="0"/>
              <w:spacing w:before="0" w:after="283"/>
              <w:jc w:val="left"/>
              <w:rPr/>
            </w:pPr>
            <w:r>
              <w:rPr/>
              <w:t> </w:t>
            </w:r>
            <w:bookmarkStart w:id="600" w:name="xdx_40B_eus-gaap--FiniteLivedIntangibleA"/>
            <w:bookmarkEnd w:id="600"/>
          </w:p>
        </w:tc>
      </w:tr>
      <w:tr>
        <w:trPr/>
        <w:tc>
          <w:tcPr>
            <w:tcW w:w="3215" w:type="dxa"/>
            <w:tcBorders/>
            <w:shd w:fill="CCEEFF" w:val="clear"/>
            <w:tcMar>
              <w:bottom w:w="0" w:type="dxa"/>
            </w:tcMar>
            <w:vAlign w:val="center"/>
          </w:tcPr>
          <w:p>
            <w:pPr>
              <w:pStyle w:val="TableContents"/>
              <w:bidi w:val="0"/>
              <w:spacing w:before="0" w:after="283"/>
              <w:jc w:val="both"/>
              <w:rPr/>
            </w:pPr>
            <w:r>
              <w:rPr/>
              <w:t>Trade name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5,100</w:t>
            </w:r>
          </w:p>
        </w:tc>
        <w:tc>
          <w:tcPr>
            <w:tcW w:w="75" w:type="dxa"/>
            <w:tcBorders/>
            <w:shd w:fill="CCEEFF" w:val="clear"/>
            <w:tcMar>
              <w:bottom w:w="0" w:type="dxa"/>
            </w:tcMar>
            <w:vAlign w:val="center"/>
          </w:tcPr>
          <w:p>
            <w:pPr>
              <w:pStyle w:val="TableContents"/>
              <w:bidi w:val="0"/>
              <w:spacing w:before="0" w:after="283"/>
              <w:jc w:val="left"/>
              <w:rPr/>
            </w:pPr>
            <w:r>
              <w:rPr/>
              <w:t> </w:t>
            </w:r>
            <w:bookmarkStart w:id="601" w:name="xdx_403_eus-gaap--FiniteLivedIntangibleA"/>
            <w:bookmarkEnd w:id="601"/>
          </w:p>
        </w:tc>
      </w:tr>
      <w:tr>
        <w:trPr/>
        <w:tc>
          <w:tcPr>
            <w:tcW w:w="3215" w:type="dxa"/>
            <w:tcBorders/>
            <w:shd w:fill="FFFFFF" w:val="clear"/>
            <w:tcMar>
              <w:bottom w:w="0" w:type="dxa"/>
            </w:tcMar>
            <w:vAlign w:val="center"/>
          </w:tcPr>
          <w:p>
            <w:pPr>
              <w:pStyle w:val="TableContents"/>
              <w:bidi w:val="0"/>
              <w:spacing w:before="0" w:after="283"/>
              <w:jc w:val="both"/>
              <w:rPr/>
            </w:pPr>
            <w:r>
              <w:rPr/>
              <w:t>Developed technology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w:t>
            </w:r>
          </w:p>
        </w:tc>
        <w:tc>
          <w:tcPr>
            <w:tcW w:w="1123" w:type="dxa"/>
            <w:tcBorders/>
            <w:shd w:fill="FFFFFF" w:val="clear"/>
            <w:tcMar>
              <w:bottom w:w="0" w:type="dxa"/>
            </w:tcMar>
            <w:vAlign w:val="center"/>
          </w:tcPr>
          <w:p>
            <w:pPr>
              <w:pStyle w:val="TableContents"/>
              <w:bidi w:val="0"/>
              <w:spacing w:before="0" w:after="283"/>
              <w:jc w:val="right"/>
              <w:rPr/>
            </w:pPr>
            <w:r>
              <w:rPr/>
              <w:t>40,000</w:t>
            </w:r>
          </w:p>
        </w:tc>
        <w:tc>
          <w:tcPr>
            <w:tcW w:w="75" w:type="dxa"/>
            <w:tcBorders/>
            <w:shd w:fill="FFFFFF" w:val="clear"/>
            <w:tcMar>
              <w:bottom w:w="0" w:type="dxa"/>
            </w:tcMar>
            <w:vAlign w:val="center"/>
          </w:tcPr>
          <w:p>
            <w:pPr>
              <w:pStyle w:val="TableContents"/>
              <w:bidi w:val="0"/>
              <w:spacing w:before="0" w:after="283"/>
              <w:jc w:val="left"/>
              <w:rPr/>
            </w:pPr>
            <w:r>
              <w:rPr/>
              <w:t> </w:t>
            </w:r>
            <w:bookmarkStart w:id="602" w:name="xdx_400_eus-gaap--FiniteLivedIntangibleA"/>
            <w:bookmarkEnd w:id="602"/>
          </w:p>
        </w:tc>
      </w:tr>
      <w:tr>
        <w:trPr/>
        <w:tc>
          <w:tcPr>
            <w:tcW w:w="3215" w:type="dxa"/>
            <w:tcBorders/>
            <w:shd w:fill="CCEEFF" w:val="clear"/>
            <w:tcMar>
              <w:bottom w:w="0" w:type="dxa"/>
            </w:tcMar>
            <w:vAlign w:val="center"/>
          </w:tcPr>
          <w:p>
            <w:pPr>
              <w:pStyle w:val="TableContents"/>
              <w:bidi w:val="0"/>
              <w:spacing w:before="0" w:after="283"/>
              <w:jc w:val="both"/>
              <w:rPr/>
            </w:pPr>
            <w:r>
              <w:rPr/>
              <w:t>Legal and compliance framework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2,400</w:t>
            </w:r>
          </w:p>
        </w:tc>
        <w:tc>
          <w:tcPr>
            <w:tcW w:w="75" w:type="dxa"/>
            <w:tcBorders/>
            <w:shd w:fill="CCEEFF" w:val="clear"/>
            <w:tcMar>
              <w:bottom w:w="0" w:type="dxa"/>
            </w:tcMar>
            <w:vAlign w:val="center"/>
          </w:tcPr>
          <w:p>
            <w:pPr>
              <w:pStyle w:val="TableContents"/>
              <w:bidi w:val="0"/>
              <w:spacing w:before="0" w:after="283"/>
              <w:jc w:val="left"/>
              <w:rPr/>
            </w:pPr>
            <w:r>
              <w:rPr/>
              <w:t> </w:t>
            </w:r>
            <w:bookmarkStart w:id="603" w:name="xdx_40C_eus-gaap--FiniteLivedIntangibleA"/>
            <w:bookmarkEnd w:id="603"/>
          </w:p>
        </w:tc>
      </w:tr>
      <w:tr>
        <w:trPr/>
        <w:tc>
          <w:tcPr>
            <w:tcW w:w="3215" w:type="dxa"/>
            <w:tcBorders/>
            <w:shd w:fill="CCEEFF" w:val="clear"/>
            <w:tcMar>
              <w:bottom w:w="0" w:type="dxa"/>
            </w:tcMar>
            <w:vAlign w:val="center"/>
          </w:tcPr>
          <w:p>
            <w:pPr>
              <w:pStyle w:val="TableContents"/>
              <w:bidi w:val="0"/>
              <w:spacing w:before="0" w:after="283"/>
              <w:jc w:val="both"/>
              <w:rPr/>
            </w:pPr>
            <w:r>
              <w:rPr/>
              <w:t>Fair value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2,400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604" w:name="xdx_403_eus-gaap--GoodwillFairValueDiscl"/>
            <w:bookmarkEnd w:id="604"/>
          </w:p>
        </w:tc>
      </w:tr>
      <w:tr>
        <w:trPr/>
        <w:tc>
          <w:tcPr>
            <w:tcW w:w="3215" w:type="dxa"/>
            <w:tcBorders/>
            <w:shd w:fill="CCEEFF" w:val="clear"/>
            <w:tcMar>
              <w:bottom w:w="0" w:type="dxa"/>
            </w:tcMar>
            <w:vAlign w:val="center"/>
          </w:tcPr>
          <w:p>
            <w:pPr>
              <w:pStyle w:val="TableContents"/>
              <w:bidi w:val="0"/>
              <w:spacing w:before="0" w:after="283"/>
              <w:jc w:val="both"/>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70,435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5" w:name="xdx_8AD_zZs8Pi1QVVze"/>
      <w:bookmarkEnd w:id="60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these assets were measured at the acquisition dates in conjunction with the Streamex Exchange acquisition. See Note 4, Business Acquisition, for additional information regarding the purchase price allocation and valuation methodologies.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Liabilities – Recurring Fair Value Measurements (Embedded Conversion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embedded conversion options associated with the Company’s secured convertible debentures were bifurcated and accounted for as derivative liabilities under ASC 815. The derivative liabilities were measured at fair value upon issuance of each debenture tranche (November 4, 2025 and December 17, 2025) and subsequently remeasured at fair value on a recurring basis through settlement on February 6, 2026. See Note 11, Convertible Debentures and Related Derivative Instruments, for information regarding the terms of the Convertible Debentures, the bifurcation analysis, settlement mechanics, and extinguishment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embedded conversion options using a Monte Carlo simulation model within a “with-and-without” framework, which isolates the value of the holder’s conversion option by comparing the fair value of the debentures with and without the embedded conversion feature. The Monte Carlo model was designed to capture the path-dependent and non-linear features of the conversion option, including variable conversion pricing, contractual floor prices, amortization mechanics, optional prepayment features, and management’s expectations regarding conversion and repayment behavior. Because the valuation utilized significant unobservable inputs, the derivative liabilities were classified as Level 3 within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6" w:name="xdx_896_ecustom--ScheduleOfEffectOfSigni"/>
      <w:bookmarkEnd w:id="606"/>
      <w:r>
        <w:rPr>
          <w:rFonts w:ascii="Times New Roman;Times;Serif" w:hAnsi="Times New Roman;Times;Serif"/>
          <w:b w:val="false"/>
          <w:i w:val="false"/>
          <w:caps w:val="false"/>
          <w:smallCaps w:val="false"/>
          <w:sz w:val="20"/>
        </w:rPr>
        <w:t>Prior to settlement on February 6, 2026, the embedded conversion derivative was valued using a Monte Carlo simulation model incorporating the following significant unobservable inputs (Level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7" w:name="xdx_8BC_zCgcyMLQvNJk"/>
      <w:bookmarkEnd w:id="607"/>
      <w:r>
        <w:rPr>
          <w:rFonts w:ascii="Times New Roman;Times;Serif" w:hAnsi="Times New Roman;Times;Serif"/>
          <w:b w:val="false"/>
          <w:i w:val="false"/>
          <w:caps w:val="false"/>
          <w:smallCaps w:val="false"/>
          <w:sz w:val="20"/>
        </w:rPr>
        <w:t>SCHEDULE OF UNOBSERVABLE INPUT</w:t>
      </w:r>
    </w:p>
    <w:tbl>
      <w:tblPr>
        <w:tblW w:w="6820" w:type="dxa"/>
        <w:jc w:val="left"/>
        <w:tblInd w:w="0" w:type="dxa"/>
        <w:tblLayout w:type="fixed"/>
        <w:tblCellMar>
          <w:top w:w="0" w:type="dxa"/>
          <w:left w:w="0" w:type="dxa"/>
          <w:bottom w:w="0" w:type="dxa"/>
          <w:right w:w="0" w:type="dxa"/>
        </w:tblCellMar>
      </w:tblPr>
      <w:tblGrid>
        <w:gridCol w:w="3200"/>
        <w:gridCol w:w="60"/>
        <w:gridCol w:w="334"/>
        <w:gridCol w:w="1051"/>
        <w:gridCol w:w="215"/>
        <w:gridCol w:w="60"/>
        <w:gridCol w:w="403"/>
        <w:gridCol w:w="1267"/>
        <w:gridCol w:w="23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2/6/2026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12/31/2025</w:t>
            </w:r>
          </w:p>
        </w:tc>
        <w:tc>
          <w:tcPr>
            <w:tcW w:w="230" w:type="dxa"/>
            <w:tcBorders/>
            <w:vAlign w:val="center"/>
          </w:tcPr>
          <w:p>
            <w:pPr>
              <w:pStyle w:val="TableContents"/>
              <w:bidi w:val="0"/>
              <w:spacing w:before="0" w:after="283"/>
              <w:jc w:val="left"/>
              <w:rPr/>
            </w:pPr>
            <w:r>
              <w:rPr/>
              <w:t> </w:t>
            </w:r>
          </w:p>
        </w:tc>
      </w:tr>
      <w:tr>
        <w:trPr/>
        <w:tc>
          <w:tcPr>
            <w:tcW w:w="3200" w:type="dxa"/>
            <w:tcBorders>
              <w:bottom w:val="single" w:sz="8" w:space="0" w:color="000000"/>
            </w:tcBorders>
            <w:tcMar>
              <w:bottom w:w="28" w:type="dxa"/>
            </w:tcMar>
            <w:vAlign w:val="center"/>
          </w:tcPr>
          <w:p>
            <w:pPr>
              <w:pStyle w:val="TableContents"/>
              <w:bidi w:val="0"/>
              <w:spacing w:before="0" w:after="283"/>
              <w:jc w:val="center"/>
              <w:rPr>
                <w:b/>
              </w:rPr>
            </w:pPr>
            <w:r>
              <w:rPr>
                <w:b/>
              </w:rPr>
              <w:t>Unobservable / key assumption</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Remeasurement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Remeasurement</w:t>
            </w:r>
          </w:p>
        </w:tc>
        <w:tc>
          <w:tcPr>
            <w:tcW w:w="23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Common stock price</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bookmarkStart w:id="608" w:name="xdx_903_eus-gaap--DerivativeLiabilityMea"/>
            <w:bookmarkEnd w:id="608"/>
            <w:r>
              <w:rPr/>
              <w:t>3.28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bookmarkStart w:id="609" w:name="xdx_90F_eus-gaap--DerivativeLiabilityMea"/>
            <w:bookmarkEnd w:id="609"/>
            <w:r>
              <w:rPr/>
              <w:t>3.03</w:t>
            </w:r>
          </w:p>
        </w:tc>
        <w:tc>
          <w:tcPr>
            <w:tcW w:w="23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Indicated conversion price</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w:t>
            </w:r>
          </w:p>
        </w:tc>
        <w:tc>
          <w:tcPr>
            <w:tcW w:w="1051" w:type="dxa"/>
            <w:tcBorders/>
            <w:shd w:fill="FFFFFF" w:val="clear"/>
            <w:vAlign w:val="center"/>
          </w:tcPr>
          <w:p>
            <w:pPr>
              <w:pStyle w:val="TableContents"/>
              <w:bidi w:val="0"/>
              <w:spacing w:before="0" w:after="283"/>
              <w:jc w:val="right"/>
              <w:rPr/>
            </w:pPr>
            <w:bookmarkStart w:id="610" w:name="xdx_90E_eus-gaap--DerivativeLiabilityMea"/>
            <w:bookmarkEnd w:id="610"/>
            <w:r>
              <w:rPr/>
              <w:t>4.00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w:t>
            </w:r>
          </w:p>
        </w:tc>
        <w:tc>
          <w:tcPr>
            <w:tcW w:w="1267" w:type="dxa"/>
            <w:tcBorders/>
            <w:shd w:fill="FFFFFF" w:val="clear"/>
            <w:vAlign w:val="center"/>
          </w:tcPr>
          <w:p>
            <w:pPr>
              <w:pStyle w:val="TableContents"/>
              <w:bidi w:val="0"/>
              <w:spacing w:before="0" w:after="283"/>
              <w:jc w:val="right"/>
              <w:rPr/>
            </w:pPr>
            <w:bookmarkStart w:id="611" w:name="xdx_909_eus-gaap--DerivativeLiabilityMea"/>
            <w:bookmarkEnd w:id="611"/>
            <w:r>
              <w:rPr/>
              <w:t>4.00</w:t>
            </w:r>
          </w:p>
        </w:tc>
        <w:tc>
          <w:tcPr>
            <w:tcW w:w="23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Floor price</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bookmarkStart w:id="612" w:name="xdx_905_eus-gaap--DerivativeLiabilityMea"/>
            <w:bookmarkEnd w:id="612"/>
            <w:r>
              <w:rPr/>
              <w:t>4.00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267" w:type="dxa"/>
            <w:tcBorders/>
            <w:shd w:fill="CCEEFF" w:val="clear"/>
            <w:vAlign w:val="center"/>
          </w:tcPr>
          <w:p>
            <w:pPr>
              <w:pStyle w:val="TableContents"/>
              <w:bidi w:val="0"/>
              <w:spacing w:before="0" w:after="283"/>
              <w:jc w:val="right"/>
              <w:rPr/>
            </w:pPr>
            <w:bookmarkStart w:id="613" w:name="xdx_909_eus-gaap--DerivativeLiabilityMea"/>
            <w:bookmarkEnd w:id="613"/>
            <w:r>
              <w:rPr/>
              <w:t>4.00</w:t>
            </w:r>
          </w:p>
        </w:tc>
        <w:tc>
          <w:tcPr>
            <w:tcW w:w="23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Prepayment probability</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bookmarkStart w:id="614" w:name="xdx_90A_eus-gaap--DerivativeLiabilityMea"/>
            <w:bookmarkEnd w:id="614"/>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bookmarkStart w:id="615" w:name="xdx_905_eus-gaap--DerivativeLiabilityMea"/>
            <w:bookmarkEnd w:id="615"/>
            <w:r>
              <w:rPr/>
              <w:t>70</w:t>
            </w:r>
          </w:p>
        </w:tc>
        <w:tc>
          <w:tcPr>
            <w:tcW w:w="23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Prepayment premium</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bookmarkStart w:id="616" w:name="xdx_909_eus-gaap--DerivativeLiabilityMea"/>
            <w:bookmarkEnd w:id="616"/>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267" w:type="dxa"/>
            <w:tcBorders/>
            <w:shd w:fill="CCEEFF" w:val="clear"/>
            <w:vAlign w:val="center"/>
          </w:tcPr>
          <w:p>
            <w:pPr>
              <w:pStyle w:val="TableContents"/>
              <w:bidi w:val="0"/>
              <w:spacing w:before="0" w:after="283"/>
              <w:jc w:val="right"/>
              <w:rPr/>
            </w:pPr>
            <w:bookmarkStart w:id="617" w:name="xdx_907_eus-gaap--DerivativeLiabilityMea"/>
            <w:bookmarkEnd w:id="617"/>
            <w:r>
              <w:rPr/>
              <w:t>10</w:t>
            </w:r>
          </w:p>
        </w:tc>
        <w:tc>
          <w:tcPr>
            <w:tcW w:w="23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Registration probability</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bookmarkStart w:id="618" w:name="xdx_90B_eus-gaap--DerivativeLiabilityMea"/>
            <w:bookmarkEnd w:id="618"/>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267" w:type="dxa"/>
            <w:tcBorders/>
            <w:shd w:fill="FFFFFF" w:val="clear"/>
            <w:vAlign w:val="center"/>
          </w:tcPr>
          <w:p>
            <w:pPr>
              <w:pStyle w:val="TableContents"/>
              <w:bidi w:val="0"/>
              <w:spacing w:before="0" w:after="283"/>
              <w:jc w:val="right"/>
              <w:rPr/>
            </w:pPr>
            <w:bookmarkStart w:id="619" w:name="xdx_902_eus-gaap--DerivativeLiabilityMea"/>
            <w:bookmarkEnd w:id="619"/>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620" w:name="xdx_8A0_z3idqXQmw1y6"/>
      <w:bookmarkEnd w:id="62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February 6, 2026, valuation incorporated management’s assessment that optional prepayment was the most likely outcome and weighted prepayment and non-prepayment scenarios accordingly. Registration-dependent conversion scenarios were assigned a zero probability, as registration effectiveness was not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derivative liabilities is most sensitive to changes in the Company’s stock price, expected volatility, and assumptions regarding the timing and likelihood of prepayment. An increase in expected volatility or stock price would generally increase the fair value of the derivative liability, while an increase in the probability of early prepayment would generally decrease the fair value. Due to the path-dependent nature of the valuation, quantitative sensitivity analyses are not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recognized a gain of $</w:t>
      </w:r>
      <w:bookmarkStart w:id="621" w:name="xdx_909_ecustom--EmbeddedDerivativeGainO"/>
      <w:bookmarkEnd w:id="621"/>
      <w:r>
        <w:rPr>
          <w:rFonts w:ascii="Times New Roman;Times;Serif" w:hAnsi="Times New Roman;Times;Serif"/>
          <w:b w:val="false"/>
          <w:i w:val="false"/>
          <w:caps w:val="false"/>
          <w:smallCaps w:val="false"/>
          <w:sz w:val="20"/>
        </w:rPr>
        <w:t>497 related to changes in the fair value of the embedded derivative liabilities prior to settlement on February 6, 2026. On settlement, the Company derecognized the remaining embedded derivative liability of $</w:t>
      </w:r>
      <w:bookmarkStart w:id="622" w:name="xdx_905_eus-gaap--EmbeddedDerivativeFair"/>
      <w:bookmarkEnd w:id="622"/>
      <w:r>
        <w:rPr>
          <w:rFonts w:ascii="Times New Roman;Times;Serif" w:hAnsi="Times New Roman;Times;Serif"/>
          <w:b w:val="false"/>
          <w:i w:val="false"/>
          <w:caps w:val="false"/>
          <w:smallCaps w:val="false"/>
          <w:sz w:val="20"/>
        </w:rPr>
        <w:t>1,203, resulting in a gain on derecognition of $</w:t>
      </w:r>
      <w:bookmarkStart w:id="623" w:name="xdx_909_eus-gaap--EmbeddedDerivativeLoss"/>
      <w:bookmarkEnd w:id="623"/>
      <w:r>
        <w:rPr>
          <w:rFonts w:ascii="Times New Roman;Times;Serif" w:hAnsi="Times New Roman;Times;Serif"/>
          <w:b w:val="false"/>
          <w:i w:val="false"/>
          <w:caps w:val="false"/>
          <w:smallCaps w:val="false"/>
          <w:sz w:val="20"/>
        </w:rPr>
        <w:t>443 included in “Realized loss on extinguishment of convertible debentures” in the unaudited condensed consolidated statements of operations. See Note 11 for the complete extinguishment accounting.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4" w:name="xdx_89C_eus-gaap--ScheduleOfDerivativeIn"/>
      <w:bookmarkEnd w:id="624"/>
      <w:r>
        <w:rPr>
          <w:rFonts w:ascii="Times New Roman;Times;Serif" w:hAnsi="Times New Roman;Times;Serif"/>
          <w:b w:val="false"/>
          <w:i w:val="false"/>
          <w:caps w:val="false"/>
          <w:smallCaps w:val="false"/>
          <w:sz w:val="20"/>
        </w:rPr>
        <w:t>The following table presents the impact of the Company’s derivative instruments on earnings for the three months ended March 31, 2026:</w:t>
      </w:r>
    </w:p>
    <w:p>
      <w:pPr>
        <w:pStyle w:val="TextBody"/>
        <w:bidi w:val="0"/>
        <w:spacing w:before="0" w:after="0"/>
        <w:ind w:left="0" w:right="0" w:hanging="0"/>
        <w:jc w:val="left"/>
        <w:rPr>
          <w:caps w:val="false"/>
          <w:smallCaps w:val="false"/>
        </w:rPr>
      </w:pPr>
      <w:r>
        <w:rPr>
          <w:caps w:val="false"/>
          <w:smallCaps w:val="false"/>
        </w:rPr>
        <w:t> </w:t>
      </w:r>
      <w:bookmarkStart w:id="625" w:name="xdx_8B0_zJBb9KaGqCE3"/>
      <w:bookmarkEnd w:id="625"/>
      <w:r>
        <w:rPr>
          <w:rFonts w:ascii="Times New Roman;Times;Serif" w:hAnsi="Times New Roman;Times;Serif"/>
          <w:b w:val="false"/>
          <w:i w:val="false"/>
          <w:caps w:val="false"/>
          <w:smallCaps w:val="false"/>
          <w:sz w:val="20"/>
        </w:rPr>
        <w:t>SCHEDULE OF DERIVATIVE INSTRUMENTS ON EARNINGS</w:t>
      </w:r>
    </w:p>
    <w:tbl>
      <w:tblPr>
        <w:tblW w:w="5230" w:type="dxa"/>
        <w:jc w:val="left"/>
        <w:tblInd w:w="0" w:type="dxa"/>
        <w:tblLayout w:type="fixed"/>
        <w:tblCellMar>
          <w:top w:w="0" w:type="dxa"/>
          <w:left w:w="0" w:type="dxa"/>
          <w:bottom w:w="0" w:type="dxa"/>
          <w:right w:w="0" w:type="dxa"/>
        </w:tblCellMar>
      </w:tblPr>
      <w:tblGrid>
        <w:gridCol w:w="4235"/>
        <w:gridCol w:w="60"/>
        <w:gridCol w:w="231"/>
        <w:gridCol w:w="629"/>
        <w:gridCol w:w="75"/>
      </w:tblGrid>
      <w:tr>
        <w:trPr/>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26" w:name="xdx_495_20260101__20260331_zjwNJ0HbwUU6"/>
            <w:bookmarkEnd w:id="62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627" w:name="xdx_40D_ecustom--EmbeddedDerivativeGainO"/>
            <w:bookmarkEnd w:id="627"/>
          </w:p>
        </w:tc>
      </w:tr>
      <w:tr>
        <w:trPr/>
        <w:tc>
          <w:tcPr>
            <w:tcW w:w="4235" w:type="dxa"/>
            <w:tcBorders/>
            <w:shd w:fill="CCEEFF" w:val="clear"/>
            <w:vAlign w:val="center"/>
          </w:tcPr>
          <w:p>
            <w:pPr>
              <w:pStyle w:val="TableContents"/>
              <w:bidi w:val="0"/>
              <w:spacing w:before="0" w:after="283"/>
              <w:jc w:val="both"/>
              <w:rPr/>
            </w:pPr>
            <w:r>
              <w:rPr/>
              <w:t>Change in fair value of embedded derivative</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497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28" w:name="xdx_8A9_z0uCmpUqlmK6"/>
      <w:bookmarkEnd w:id="628"/>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629" w:name="xdx_896_eus-gaap--ScheduleOfDerivativeLi"/>
      <w:bookmarkEnd w:id="629"/>
      <w:r>
        <w:rPr>
          <w:rFonts w:ascii="Times New Roman;Times;Serif" w:hAnsi="Times New Roman;Times;Serif"/>
          <w:b w:val="false"/>
          <w:i/>
          <w:caps w:val="false"/>
          <w:smallCaps w:val="false"/>
          <w:sz w:val="20"/>
        </w:rPr>
        <w:t>Rollforward of Level 3 Recurring Fair Value Measurements – Embedded Derivative Liabilities:</w:t>
      </w:r>
    </w:p>
    <w:p>
      <w:pPr>
        <w:pStyle w:val="TextBody"/>
        <w:bidi w:val="0"/>
        <w:spacing w:before="0" w:after="0"/>
        <w:ind w:left="0" w:right="0" w:hanging="0"/>
        <w:jc w:val="both"/>
        <w:rPr>
          <w:caps w:val="false"/>
          <w:smallCaps w:val="false"/>
        </w:rPr>
      </w:pPr>
      <w:r>
        <w:rPr>
          <w:caps w:val="false"/>
          <w:smallCaps w:val="false"/>
        </w:rPr>
        <w:t> </w:t>
      </w:r>
      <w:bookmarkStart w:id="630" w:name="xdx_8B9_zxHixLTACpbk"/>
      <w:bookmarkEnd w:id="630"/>
      <w:r>
        <w:rPr>
          <w:rFonts w:ascii="Times New Roman;Times;Serif" w:hAnsi="Times New Roman;Times;Serif"/>
          <w:b w:val="false"/>
          <w:i w:val="false"/>
          <w:caps w:val="false"/>
          <w:smallCaps w:val="false"/>
          <w:sz w:val="20"/>
        </w:rPr>
        <w:t>SCHEDULE OF FAIR VALUE MEASUREMENTS EMBEDDED DERIVATIVE LIABILITY</w:t>
      </w:r>
    </w:p>
    <w:tbl>
      <w:tblPr>
        <w:tblW w:w="4275" w:type="dxa"/>
        <w:jc w:val="left"/>
        <w:tblInd w:w="0" w:type="dxa"/>
        <w:tblLayout w:type="fixed"/>
        <w:tblCellMar>
          <w:top w:w="0" w:type="dxa"/>
          <w:left w:w="0" w:type="dxa"/>
          <w:bottom w:w="0" w:type="dxa"/>
          <w:right w:w="0" w:type="dxa"/>
        </w:tblCellMar>
      </w:tblPr>
      <w:tblGrid>
        <w:gridCol w:w="3245"/>
        <w:gridCol w:w="60"/>
        <w:gridCol w:w="155"/>
        <w:gridCol w:w="705"/>
        <w:gridCol w:w="110"/>
      </w:tblGrid>
      <w:tr>
        <w:trPr/>
        <w:tc>
          <w:tcPr>
            <w:tcW w:w="3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31" w:name="xdx_490_20260101__20260331__us-gaap--Fai"/>
            <w:bookmarkEnd w:id="631"/>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bookmarkStart w:id="632" w:name="xdx_40A_eus-gaap--DerivativeLiabilitiesC"/>
            <w:bookmarkEnd w:id="632"/>
          </w:p>
        </w:tc>
      </w:tr>
      <w:tr>
        <w:trPr/>
        <w:tc>
          <w:tcPr>
            <w:tcW w:w="324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1,700</w:t>
            </w:r>
          </w:p>
        </w:tc>
        <w:tc>
          <w:tcPr>
            <w:tcW w:w="110" w:type="dxa"/>
            <w:tcBorders/>
            <w:shd w:fill="CCEEFF" w:val="clear"/>
            <w:vAlign w:val="center"/>
          </w:tcPr>
          <w:p>
            <w:pPr>
              <w:pStyle w:val="TableContents"/>
              <w:bidi w:val="0"/>
              <w:spacing w:before="0" w:after="283"/>
              <w:jc w:val="left"/>
              <w:rPr/>
            </w:pPr>
            <w:r>
              <w:rPr/>
              <w:t> </w:t>
            </w:r>
            <w:bookmarkStart w:id="633" w:name="xdx_409_ecustom--ChangeInFairValueOfEmbe"/>
            <w:bookmarkEnd w:id="633"/>
          </w:p>
        </w:tc>
      </w:tr>
      <w:tr>
        <w:trPr/>
        <w:tc>
          <w:tcPr>
            <w:tcW w:w="3245" w:type="dxa"/>
            <w:tcBorders/>
            <w:shd w:fill="FFFFFF" w:val="clear"/>
            <w:vAlign w:val="center"/>
          </w:tcPr>
          <w:p>
            <w:pPr>
              <w:pStyle w:val="TableContents"/>
              <w:bidi w:val="0"/>
              <w:spacing w:before="0" w:after="283"/>
              <w:jc w:val="left"/>
              <w:rPr/>
            </w:pPr>
            <w:r>
              <w:rPr/>
              <w:t>Change in fair value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(497</w:t>
            </w:r>
          </w:p>
        </w:tc>
        <w:tc>
          <w:tcPr>
            <w:tcW w:w="110" w:type="dxa"/>
            <w:tcBorders/>
            <w:shd w:fill="FFFFFF" w:val="clear"/>
            <w:vAlign w:val="center"/>
          </w:tcPr>
          <w:p>
            <w:pPr>
              <w:pStyle w:val="TableContents"/>
              <w:bidi w:val="0"/>
              <w:spacing w:before="0" w:after="283"/>
              <w:jc w:val="left"/>
              <w:rPr/>
            </w:pPr>
            <w:r>
              <w:rPr/>
              <w:t>)</w:t>
            </w:r>
            <w:bookmarkStart w:id="634" w:name="xdx_409_ecustom--EmbeddedDerivativeLiabi"/>
            <w:bookmarkEnd w:id="634"/>
          </w:p>
        </w:tc>
      </w:tr>
      <w:tr>
        <w:trPr/>
        <w:tc>
          <w:tcPr>
            <w:tcW w:w="3245" w:type="dxa"/>
            <w:tcBorders/>
            <w:shd w:fill="CCEEFF" w:val="clear"/>
            <w:vAlign w:val="center"/>
          </w:tcPr>
          <w:p>
            <w:pPr>
              <w:pStyle w:val="TableContents"/>
              <w:bidi w:val="0"/>
              <w:spacing w:before="0" w:after="283"/>
              <w:jc w:val="left"/>
              <w:rPr/>
            </w:pPr>
            <w:r>
              <w:rPr/>
              <w:t>Settlements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(1,203</w:t>
            </w:r>
          </w:p>
        </w:tc>
        <w:tc>
          <w:tcPr>
            <w:tcW w:w="110" w:type="dxa"/>
            <w:tcBorders/>
            <w:shd w:fill="CCEEFF" w:val="clear"/>
            <w:vAlign w:val="center"/>
          </w:tcPr>
          <w:p>
            <w:pPr>
              <w:pStyle w:val="TableContents"/>
              <w:bidi w:val="0"/>
              <w:spacing w:before="0" w:after="283"/>
              <w:jc w:val="left"/>
              <w:rPr/>
            </w:pPr>
            <w:r>
              <w:rPr/>
              <w:t>)</w:t>
            </w:r>
            <w:bookmarkStart w:id="635" w:name="xdx_40D_eus-gaap--DerivativeLiabilitiesC"/>
            <w:bookmarkEnd w:id="635"/>
          </w:p>
        </w:tc>
      </w:tr>
      <w:tr>
        <w:trPr/>
        <w:tc>
          <w:tcPr>
            <w:tcW w:w="3245" w:type="dxa"/>
            <w:tcBorders/>
            <w:shd w:fill="FFFFFF" w:val="clear"/>
            <w:vAlign w:val="center"/>
          </w:tcPr>
          <w:p>
            <w:pPr>
              <w:pStyle w:val="TableContents"/>
              <w:bidi w:val="0"/>
              <w:spacing w:before="0" w:after="283"/>
              <w:jc w:val="left"/>
              <w:rPr/>
            </w:pPr>
            <w:r>
              <w:rPr/>
              <w:t>Balance as of March 31, 2026</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70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6" w:name="xdx_8A0_zi2jOpIUUtul"/>
      <w:bookmarkEnd w:id="636"/>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Investment in Empress Royalty Corp.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in Empress Royalty Corp. is measured at fair value each reporting period based on quoted market prices in active markets. This represents a Level 1 measurement within the fair value hierarchy. The fair value is based on quoted prices on the TSX Venture Exchange (principal market), translated into U.S. dollars using the spot exchange rate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sold all of its shares in Empress Royalty Corp. for gross proceeds of approximately $</w:t>
      </w:r>
      <w:bookmarkStart w:id="637" w:name="xdx_90C_eus-gaap--ProceedsFromSaleOfAvai"/>
      <w:bookmarkEnd w:id="637"/>
      <w:r>
        <w:rPr>
          <w:rFonts w:ascii="Times New Roman;Times;Serif" w:hAnsi="Times New Roman;Times;Serif"/>
          <w:b w:val="false"/>
          <w:i w:val="false"/>
          <w:caps w:val="false"/>
          <w:smallCaps w:val="false"/>
          <w:sz w:val="20"/>
        </w:rPr>
        <w:t>10,190, resulting in a realized gain on marketable securities of $</w:t>
      </w:r>
      <w:bookmarkStart w:id="638" w:name="xdx_909_eus-gaap--OtherIncome_pn3n3_c202"/>
      <w:bookmarkEnd w:id="638"/>
      <w:r>
        <w:rPr>
          <w:rFonts w:ascii="Times New Roman;Times;Serif" w:hAnsi="Times New Roman;Times;Serif"/>
          <w:b w:val="false"/>
          <w:i w:val="false"/>
          <w:caps w:val="false"/>
          <w:smallCaps w:val="false"/>
          <w:sz w:val="20"/>
        </w:rPr>
        <w:t>484, which is included in other income (expense) in the unaudited condensed consolidated statements of operations. As of March 31, 2026, the Company held no investment in Empress Royalty Corp. See Note 7, Marketable Securities,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investments in exchange-traded funds (“ETFs”) holding short-term U.S. Treasury securities and investment-grade corporate debt instruments are measured at fair value each reporting period based on quoted market prices in active markets. This represents a Level 1 measurement within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Recurring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9" w:name="xdx_894_eus-gaap--FairValueLiabilitiesMe"/>
      <w:bookmarkEnd w:id="639"/>
      <w:r>
        <w:rPr>
          <w:rFonts w:ascii="Times New Roman;Times;Serif" w:hAnsi="Times New Roman;Times;Serif"/>
          <w:b w:val="false"/>
          <w:i w:val="false"/>
          <w:caps w:val="false"/>
          <w:smallCaps w:val="false"/>
          <w:sz w:val="20"/>
        </w:rPr>
        <w:t>The following table presents information about the Company’s financial instruments measured at fair value on a recurring basis as of March 31, 2026 (in thousands):</w:t>
      </w:r>
    </w:p>
    <w:p>
      <w:pPr>
        <w:pStyle w:val="TextBody"/>
        <w:bidi w:val="0"/>
        <w:spacing w:before="0" w:after="0"/>
        <w:ind w:left="0" w:right="0" w:hanging="0"/>
        <w:jc w:val="both"/>
        <w:rPr>
          <w:caps w:val="false"/>
          <w:smallCaps w:val="false"/>
        </w:rPr>
      </w:pPr>
      <w:r>
        <w:rPr>
          <w:caps w:val="false"/>
          <w:smallCaps w:val="false"/>
        </w:rPr>
        <w:t> </w:t>
      </w:r>
      <w:bookmarkStart w:id="640" w:name="xdx_8BC_zACb0s3PPHyj"/>
      <w:bookmarkEnd w:id="640"/>
      <w:r>
        <w:rPr>
          <w:rFonts w:ascii="Times New Roman;Times;Serif" w:hAnsi="Times New Roman;Times;Serif"/>
          <w:b w:val="false"/>
          <w:i w:val="false"/>
          <w:caps w:val="false"/>
          <w:smallCaps w:val="false"/>
          <w:sz w:val="20"/>
        </w:rPr>
        <w:t>SCHEDULE OF RECURRING BASIS FAIR VALUE MEASUREMENTS</w:t>
      </w:r>
    </w:p>
    <w:tbl>
      <w:tblPr>
        <w:tblW w:w="9739" w:type="dxa"/>
        <w:jc w:val="left"/>
        <w:tblInd w:w="0" w:type="dxa"/>
        <w:tblLayout w:type="fixed"/>
        <w:tblCellMar>
          <w:top w:w="0" w:type="dxa"/>
          <w:left w:w="0" w:type="dxa"/>
          <w:bottom w:w="28" w:type="dxa"/>
          <w:right w:w="0" w:type="dxa"/>
        </w:tblCellMar>
      </w:tblPr>
      <w:tblGrid>
        <w:gridCol w:w="5225"/>
        <w:gridCol w:w="60"/>
        <w:gridCol w:w="172"/>
        <w:gridCol w:w="403"/>
        <w:gridCol w:w="60"/>
        <w:gridCol w:w="60"/>
        <w:gridCol w:w="274"/>
        <w:gridCol w:w="1335"/>
        <w:gridCol w:w="60"/>
        <w:gridCol w:w="60"/>
        <w:gridCol w:w="391"/>
        <w:gridCol w:w="1564"/>
        <w:gridCol w:w="75"/>
      </w:tblGrid>
      <w:tr>
        <w:trPr/>
        <w:tc>
          <w:tcPr>
            <w:tcW w:w="5225" w:type="dxa"/>
            <w:tcBorders>
              <w:bottom w:val="single" w:sz="8" w:space="0" w:color="000000"/>
            </w:tcBorders>
            <w:vAlign w:val="center"/>
          </w:tcPr>
          <w:p>
            <w:pPr>
              <w:pStyle w:val="TableContents"/>
              <w:bidi w:val="0"/>
              <w:spacing w:before="0" w:after="283"/>
              <w:jc w:val="center"/>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gridSpan w:val="2"/>
            <w:tcBorders>
              <w:bottom w:val="single" w:sz="8" w:space="0" w:color="000000"/>
            </w:tcBorders>
            <w:vAlign w:val="center"/>
          </w:tcPr>
          <w:p>
            <w:pPr>
              <w:pStyle w:val="TableContents"/>
              <w:bidi w:val="0"/>
              <w:spacing w:before="0" w:after="283"/>
              <w:jc w:val="center"/>
              <w:rPr>
                <w:b/>
              </w:rPr>
            </w:pPr>
            <w:r>
              <w:rPr>
                <w:b/>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41" w:name="xdx_493_20260331_z61JGyj4Gspj"/>
            <w:bookmarkEnd w:id="641"/>
          </w:p>
        </w:tc>
        <w:tc>
          <w:tcPr>
            <w:tcW w:w="1609" w:type="dxa"/>
            <w:gridSpan w:val="2"/>
            <w:tcBorders>
              <w:bottom w:val="single" w:sz="8" w:space="0" w:color="000000"/>
            </w:tcBorders>
            <w:vAlign w:val="center"/>
          </w:tcPr>
          <w:p>
            <w:pPr>
              <w:pStyle w:val="TableContents"/>
              <w:bidi w:val="0"/>
              <w:spacing w:before="0" w:after="283"/>
              <w:jc w:val="center"/>
              <w:rPr>
                <w:b/>
              </w:rPr>
            </w:pPr>
            <w:r>
              <w:rPr>
                <w:b/>
              </w:rPr>
              <w:t>March 31,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42" w:name="xdx_49F_20251231_zIvMBLGEbvtj"/>
            <w:bookmarkEnd w:id="642"/>
          </w:p>
        </w:tc>
        <w:tc>
          <w:tcPr>
            <w:tcW w:w="1955"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75" w:type="dxa"/>
            <w:tcBorders/>
            <w:tcMar>
              <w:bottom w:w="0" w:type="dxa"/>
            </w:tcMar>
            <w:vAlign w:val="center"/>
          </w:tcPr>
          <w:p>
            <w:pPr>
              <w:pStyle w:val="TableContents"/>
              <w:bidi w:val="0"/>
              <w:spacing w:before="0" w:after="283"/>
              <w:jc w:val="left"/>
              <w:rPr/>
            </w:pPr>
            <w:r>
              <w:rPr/>
              <w:t> </w:t>
            </w:r>
            <w:bookmarkStart w:id="643" w:name="xdx_400_eus-gaap--EmbeddedDerivativeFair"/>
            <w:bookmarkEnd w:id="643"/>
          </w:p>
        </w:tc>
      </w:tr>
      <w:tr>
        <w:trPr/>
        <w:tc>
          <w:tcPr>
            <w:tcW w:w="5225" w:type="dxa"/>
            <w:tcBorders/>
            <w:shd w:fill="CCEEFF" w:val="clear"/>
            <w:tcMar>
              <w:bottom w:w="0" w:type="dxa"/>
            </w:tcMar>
            <w:vAlign w:val="center"/>
          </w:tcPr>
          <w:p>
            <w:pPr>
              <w:pStyle w:val="TableContents"/>
              <w:bidi w:val="0"/>
              <w:spacing w:before="0" w:after="283"/>
              <w:jc w:val="left"/>
              <w:rPr/>
            </w:pPr>
            <w:r>
              <w:rPr/>
              <w:t>Embedded derivative liabilities – Yorkville Debentures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center"/>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4" w:type="dxa"/>
            <w:tcBorders/>
            <w:shd w:fill="CCEEFF" w:val="clear"/>
            <w:tcMar>
              <w:bottom w:w="0" w:type="dxa"/>
            </w:tcMar>
            <w:vAlign w:val="center"/>
          </w:tcPr>
          <w:p>
            <w:pPr>
              <w:pStyle w:val="TableContents"/>
              <w:bidi w:val="0"/>
              <w:spacing w:before="0" w:after="283"/>
              <w:jc w:val="left"/>
              <w:rPr/>
            </w:pPr>
            <w:r>
              <w:rPr/>
              <w:t>$</w:t>
            </w:r>
          </w:p>
        </w:tc>
        <w:tc>
          <w:tcPr>
            <w:tcW w:w="13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1" w:type="dxa"/>
            <w:tcBorders/>
            <w:shd w:fill="CCEEFF" w:val="clear"/>
            <w:tcMar>
              <w:bottom w:w="0" w:type="dxa"/>
            </w:tcMar>
            <w:vAlign w:val="center"/>
          </w:tcPr>
          <w:p>
            <w:pPr>
              <w:pStyle w:val="TableContents"/>
              <w:bidi w:val="0"/>
              <w:spacing w:before="0" w:after="283"/>
              <w:jc w:val="left"/>
              <w:rPr/>
            </w:pPr>
            <w:r>
              <w:rPr/>
              <w:t>$</w:t>
            </w:r>
          </w:p>
        </w:tc>
        <w:tc>
          <w:tcPr>
            <w:tcW w:w="1564" w:type="dxa"/>
            <w:tcBorders/>
            <w:shd w:fill="CCEEFF" w:val="clear"/>
            <w:tcMar>
              <w:bottom w:w="0" w:type="dxa"/>
            </w:tcMar>
            <w:vAlign w:val="center"/>
          </w:tcPr>
          <w:p>
            <w:pPr>
              <w:pStyle w:val="TableContents"/>
              <w:bidi w:val="0"/>
              <w:spacing w:before="0" w:after="283"/>
              <w:jc w:val="right"/>
              <w:rPr/>
            </w:pPr>
            <w:r>
              <w:rPr/>
              <w:t>1,700</w:t>
            </w:r>
          </w:p>
        </w:tc>
        <w:tc>
          <w:tcPr>
            <w:tcW w:w="75" w:type="dxa"/>
            <w:tcBorders/>
            <w:shd w:fill="CCEEFF" w:val="clear"/>
            <w:tcMar>
              <w:bottom w:w="0" w:type="dxa"/>
            </w:tcMar>
            <w:vAlign w:val="center"/>
          </w:tcPr>
          <w:p>
            <w:pPr>
              <w:pStyle w:val="TableContents"/>
              <w:bidi w:val="0"/>
              <w:spacing w:before="0" w:after="283"/>
              <w:jc w:val="left"/>
              <w:rPr/>
            </w:pPr>
            <w:r>
              <w:rPr/>
              <w:t> </w:t>
            </w:r>
            <w:bookmarkStart w:id="644" w:name="xdx_40B_eus-gaap--MarketableSecurities_i"/>
            <w:bookmarkEnd w:id="644"/>
          </w:p>
        </w:tc>
      </w:tr>
      <w:tr>
        <w:trPr/>
        <w:tc>
          <w:tcPr>
            <w:tcW w:w="5225" w:type="dxa"/>
            <w:tcBorders/>
            <w:shd w:fill="FFFFFF" w:val="clear"/>
            <w:tcMar>
              <w:bottom w:w="0" w:type="dxa"/>
            </w:tcMar>
            <w:vAlign w:val="center"/>
          </w:tcPr>
          <w:p>
            <w:pPr>
              <w:pStyle w:val="TableContents"/>
              <w:bidi w:val="0"/>
              <w:spacing w:before="0" w:after="283"/>
              <w:jc w:val="left"/>
              <w:rPr/>
            </w:pPr>
            <w:r>
              <w:rPr/>
              <w:t>Marketable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center"/>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4" w:type="dxa"/>
            <w:tcBorders/>
            <w:shd w:fill="FFFFFF" w:val="clear"/>
            <w:tcMar>
              <w:bottom w:w="0" w:type="dxa"/>
            </w:tcMar>
            <w:vAlign w:val="center"/>
          </w:tcPr>
          <w:p>
            <w:pPr>
              <w:pStyle w:val="TableContents"/>
              <w:bidi w:val="0"/>
              <w:spacing w:before="0" w:after="283"/>
              <w:jc w:val="left"/>
              <w:rPr/>
            </w:pPr>
            <w:r>
              <w:rPr/>
              <w:t>$</w:t>
            </w:r>
          </w:p>
        </w:tc>
        <w:tc>
          <w:tcPr>
            <w:tcW w:w="1335" w:type="dxa"/>
            <w:tcBorders/>
            <w:shd w:fill="FFFFFF" w:val="clear"/>
            <w:tcMar>
              <w:bottom w:w="0" w:type="dxa"/>
            </w:tcMar>
            <w:vAlign w:val="center"/>
          </w:tcPr>
          <w:p>
            <w:pPr>
              <w:pStyle w:val="TableContents"/>
              <w:bidi w:val="0"/>
              <w:spacing w:before="0" w:after="283"/>
              <w:jc w:val="right"/>
              <w:rPr/>
            </w:pPr>
            <w:r>
              <w:rPr/>
              <w:t>23,766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1" w:type="dxa"/>
            <w:tcBorders/>
            <w:shd w:fill="FFFFFF" w:val="clear"/>
            <w:tcMar>
              <w:bottom w:w="0" w:type="dxa"/>
            </w:tcMar>
            <w:vAlign w:val="center"/>
          </w:tcPr>
          <w:p>
            <w:pPr>
              <w:pStyle w:val="TableContents"/>
              <w:bidi w:val="0"/>
              <w:spacing w:before="0" w:after="283"/>
              <w:jc w:val="left"/>
              <w:rPr/>
            </w:pPr>
            <w:r>
              <w:rPr/>
              <w:t>$</w:t>
            </w:r>
          </w:p>
        </w:tc>
        <w:tc>
          <w:tcPr>
            <w:tcW w:w="1564" w:type="dxa"/>
            <w:tcBorders/>
            <w:shd w:fill="FFFFFF" w:val="clear"/>
            <w:tcMar>
              <w:bottom w:w="0" w:type="dxa"/>
            </w:tcMar>
            <w:vAlign w:val="center"/>
          </w:tcPr>
          <w:p>
            <w:pPr>
              <w:pStyle w:val="TableContents"/>
              <w:bidi w:val="0"/>
              <w:spacing w:before="0" w:after="283"/>
              <w:jc w:val="right"/>
              <w:rPr/>
            </w:pPr>
            <w:r>
              <w:rPr/>
              <w:t>9,706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45" w:name="xdx_8A8_zu2D7sO0X4Y9"/>
      <w:bookmarkEnd w:id="64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6" w:name="xdx_809_eus-gaap--StockholdersEquityNote"/>
      <w:bookmarkEnd w:id="646"/>
      <w:r>
        <w:rPr>
          <w:rFonts w:ascii="Times New Roman;Times;Serif" w:hAnsi="Times New Roman;Times;Serif"/>
          <w:b/>
          <w:i w:val="false"/>
          <w:caps w:val="false"/>
          <w:smallCaps w:val="false"/>
          <w:sz w:val="20"/>
        </w:rPr>
        <w:t>NOTE 13</w:t>
      </w:r>
      <w:r>
        <w:rPr>
          <w:rFonts w:ascii="Times New Roman;Times;Serif" w:hAnsi="Times New Roman;Times;Serif"/>
          <w:b w:val="false"/>
          <w:i w:val="false"/>
          <w:caps w:val="false"/>
          <w:smallCaps w:val="false"/>
          <w:sz w:val="20"/>
        </w:rPr>
        <w:t xml:space="preserve"> – </w:t>
      </w:r>
      <w:bookmarkStart w:id="647" w:name="xdx_82C_zgoPF9ZYDL64"/>
      <w:bookmarkEnd w:id="647"/>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648" w:name="xdx_906_eus-gaap--PreferredStockSharesAu"/>
      <w:bookmarkEnd w:id="648"/>
      <w:r>
        <w:rPr>
          <w:rFonts w:ascii="Times New Roman;Times;Serif" w:hAnsi="Times New Roman;Times;Serif"/>
          <w:b w:val="false"/>
          <w:i w:val="false"/>
          <w:caps w:val="false"/>
          <w:smallCaps w:val="false"/>
          <w:sz w:val="20"/>
        </w:rPr>
        <w:t>1,000,000 shares of $</w:t>
      </w:r>
      <w:bookmarkStart w:id="649" w:name="xdx_908_eus-gaap--PreferredStockParOrSta"/>
      <w:bookmarkEnd w:id="649"/>
      <w:r>
        <w:rPr>
          <w:rFonts w:ascii="Times New Roman;Times;Serif" w:hAnsi="Times New Roman;Times;Serif"/>
          <w:b w:val="false"/>
          <w:i w:val="false"/>
          <w:caps w:val="false"/>
          <w:smallCaps w:val="false"/>
          <w:sz w:val="20"/>
        </w:rPr>
        <w:t xml:space="preserve">0.001 par value preferred stock. As of March 31, 2026 and December 31, 2025, the Company has designated </w:t>
      </w:r>
      <w:bookmarkStart w:id="650" w:name="xdx_907_eus-gaap--PreferredStockSharesAu"/>
      <w:bookmarkStart w:id="651" w:name="xdx_903_eus-gaap--PreferredStockSharesAu"/>
      <w:bookmarkEnd w:id="650"/>
      <w:bookmarkEnd w:id="651"/>
      <w:r>
        <w:rPr>
          <w:rFonts w:ascii="Times New Roman;Times;Serif" w:hAnsi="Times New Roman;Times;Serif"/>
          <w:b w:val="false"/>
          <w:i w:val="false"/>
          <w:caps w:val="false"/>
          <w:smallCaps w:val="false"/>
          <w:sz w:val="20"/>
        </w:rPr>
        <w:t xml:space="preserve">200 shares of Series A preferred stock, </w:t>
      </w:r>
      <w:bookmarkStart w:id="652" w:name="xdx_90C_eus-gaap--PreferredStockSharesAu"/>
      <w:bookmarkStart w:id="653" w:name="xdx_90B_eus-gaap--PreferredStockSharesAu"/>
      <w:bookmarkEnd w:id="652"/>
      <w:bookmarkEnd w:id="653"/>
      <w:r>
        <w:rPr>
          <w:rFonts w:ascii="Times New Roman;Times;Serif" w:hAnsi="Times New Roman;Times;Serif"/>
          <w:b w:val="false"/>
          <w:i w:val="false"/>
          <w:caps w:val="false"/>
          <w:smallCaps w:val="false"/>
          <w:sz w:val="20"/>
        </w:rPr>
        <w:t xml:space="preserve">600 shares of Series B preferred stock, </w:t>
      </w:r>
      <w:bookmarkStart w:id="654" w:name="xdx_907_eus-gaap--PreferredStockSharesAu"/>
      <w:bookmarkStart w:id="655" w:name="xdx_904_eus-gaap--PreferredStockSharesAu"/>
      <w:bookmarkEnd w:id="654"/>
      <w:bookmarkEnd w:id="655"/>
      <w:r>
        <w:rPr>
          <w:rFonts w:ascii="Times New Roman;Times;Serif" w:hAnsi="Times New Roman;Times;Serif"/>
          <w:b w:val="false"/>
          <w:i w:val="false"/>
          <w:caps w:val="false"/>
          <w:smallCaps w:val="false"/>
          <w:sz w:val="20"/>
        </w:rPr>
        <w:t xml:space="preserve">4,200 shares of Series C Preferred Stock, </w:t>
      </w:r>
      <w:bookmarkStart w:id="656" w:name="xdx_906_eus-gaap--PreferredStockSharesAu"/>
      <w:bookmarkStart w:id="657" w:name="xdx_903_eus-gaap--PreferredStockSharesAu"/>
      <w:bookmarkEnd w:id="656"/>
      <w:bookmarkEnd w:id="657"/>
      <w:r>
        <w:rPr>
          <w:rFonts w:ascii="Times New Roman;Times;Serif" w:hAnsi="Times New Roman;Times;Serif"/>
          <w:b w:val="false"/>
          <w:i w:val="false"/>
          <w:caps w:val="false"/>
          <w:smallCaps w:val="false"/>
          <w:sz w:val="20"/>
        </w:rPr>
        <w:t xml:space="preserve">1,400 shares of Series D Preferred Stock, </w:t>
      </w:r>
      <w:bookmarkStart w:id="658" w:name="xdx_904_eus-gaap--PreferredStockSharesAu"/>
      <w:bookmarkStart w:id="659" w:name="xdx_902_eus-gaap--PreferredStockSharesAu"/>
      <w:bookmarkEnd w:id="658"/>
      <w:bookmarkEnd w:id="659"/>
      <w:r>
        <w:rPr>
          <w:rFonts w:ascii="Times New Roman;Times;Serif" w:hAnsi="Times New Roman;Times;Serif"/>
          <w:b w:val="false"/>
          <w:i w:val="false"/>
          <w:caps w:val="false"/>
          <w:smallCaps w:val="false"/>
          <w:sz w:val="20"/>
        </w:rPr>
        <w:t xml:space="preserve">1,000 shares of Series E Preferred Stock, </w:t>
      </w:r>
      <w:bookmarkStart w:id="660" w:name="xdx_90B_eus-gaap--PreferredStockSharesAu"/>
      <w:bookmarkStart w:id="661" w:name="xdx_904_eus-gaap--PreferredStockSharesAu"/>
      <w:bookmarkEnd w:id="660"/>
      <w:bookmarkEnd w:id="661"/>
      <w:r>
        <w:rPr>
          <w:rFonts w:ascii="Times New Roman;Times;Serif" w:hAnsi="Times New Roman;Times;Serif"/>
          <w:b w:val="false"/>
          <w:i w:val="false"/>
          <w:caps w:val="false"/>
          <w:smallCaps w:val="false"/>
          <w:sz w:val="20"/>
        </w:rPr>
        <w:t>200,000 shares of Series F Preferred Stock and 1 Special Voting Preferred Stock. As of March 31, 2026 and December 31, 2025, there were no issued or outstanding shares of Series A, Series B, Series D, Series E and Series F preferred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Voting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Exchangeable Shares, the Company designated one share of Special Voting Preferred Stock, par value $</w:t>
      </w:r>
      <w:bookmarkStart w:id="662" w:name="xdx_907_eus-gaap--PreferredStockParOrSta"/>
      <w:bookmarkEnd w:id="662"/>
      <w:r>
        <w:rPr>
          <w:rFonts w:ascii="Times New Roman;Times;Serif" w:hAnsi="Times New Roman;Times;Serif"/>
          <w:b w:val="false"/>
          <w:i w:val="false"/>
          <w:caps w:val="false"/>
          <w:smallCaps w:val="false"/>
          <w:sz w:val="20"/>
        </w:rPr>
        <w:t>0.001 per share. One share of Special Voting Preferred Stock was issued and outstanding as of March 31,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Voting Preferred Stock was issued to a trustee and does not have any economic rights, including rights to dividends or participation in liquidation, other than a nominal liquidation preference of $</w:t>
      </w:r>
      <w:bookmarkStart w:id="663" w:name="xdx_90C_eus-gaap--TemporaryEquityLiquida"/>
      <w:bookmarkEnd w:id="663"/>
      <w:r>
        <w:rPr>
          <w:rFonts w:ascii="Times New Roman;Times;Serif" w:hAnsi="Times New Roman;Times;Serif"/>
          <w:b w:val="false"/>
          <w:i w:val="false"/>
          <w:caps w:val="false"/>
          <w:smallCaps w:val="false"/>
          <w:sz w:val="20"/>
        </w:rPr>
        <w:t>1.00. The Special Voting Preferred Stock is not convertible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sole purpose of the Special Voting Preferred Stock is to provide voting rights to holders of Exchangeable Shares on an equivalent basis with holders of the Company’s common stock. The holder of the Special Voting Preferred Stock is entitled to cast a number of votes equal to the aggregate number of votes that the holders of Exchangeable Shares would be entitled to cast if such Exchangeable Shares were exchanged for shares of the Company’s common stock, in accordance with the Exchange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rights associated with the Special Voting Preferred Stock terminate automatically upon the exchange or cancellation of all outstanding Exchangeable Shares, at which time the Special Voting Preferred Stock is automatically cancelled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Series C Preferred Stock (“Series C”) issued and outstanding totaled </w:t>
      </w:r>
      <w:bookmarkStart w:id="664" w:name="xdx_900_eus-gaap--PreferredStockSharesOu"/>
      <w:bookmarkStart w:id="665" w:name="xdx_904_eus-gaap--PreferredStockSharesOu"/>
      <w:bookmarkStart w:id="666" w:name="xdx_90D_eus-gaap--PreferredStockSharesIs"/>
      <w:bookmarkStart w:id="667" w:name="xdx_907_eus-gaap--PreferredStockSharesIs"/>
      <w:bookmarkEnd w:id="664"/>
      <w:bookmarkEnd w:id="665"/>
      <w:bookmarkEnd w:id="666"/>
      <w:bookmarkEnd w:id="667"/>
      <w:r>
        <w:rPr>
          <w:rFonts w:ascii="Times New Roman;Times;Serif" w:hAnsi="Times New Roman;Times;Serif"/>
          <w:b w:val="false"/>
          <w:i w:val="false"/>
          <w:caps w:val="false"/>
          <w:smallCaps w:val="false"/>
          <w:sz w:val="20"/>
        </w:rPr>
        <w:t>105 shares as of March 31, 2026, and December 31, 2025. As of March 31, 2026, and December 31, 2025, the Company has accrued $</w:t>
      </w:r>
      <w:bookmarkStart w:id="668" w:name="xdx_900_eus-gaap--DividendsPayableCurren"/>
      <w:bookmarkEnd w:id="668"/>
      <w:r>
        <w:rPr>
          <w:rFonts w:ascii="Times New Roman;Times;Serif" w:hAnsi="Times New Roman;Times;Serif"/>
          <w:b w:val="false"/>
          <w:i w:val="false"/>
          <w:caps w:val="false"/>
          <w:smallCaps w:val="false"/>
          <w:sz w:val="20"/>
        </w:rPr>
        <w:t>123 and $</w:t>
      </w:r>
      <w:bookmarkStart w:id="669" w:name="xdx_90D_eus-gaap--DividendsPayableCurren"/>
      <w:bookmarkEnd w:id="669"/>
      <w:r>
        <w:rPr>
          <w:rFonts w:ascii="Times New Roman;Times;Serif" w:hAnsi="Times New Roman;Times;Serif"/>
          <w:b w:val="false"/>
          <w:i w:val="false"/>
          <w:caps w:val="false"/>
          <w:smallCaps w:val="false"/>
          <w:sz w:val="20"/>
        </w:rPr>
        <w:t>121 dividends payable on the Series C, respectively. As of March 31, 2026, and December 31, 2025, the cumulative dividend per share payable on the Series C was approximately $</w:t>
      </w:r>
      <w:bookmarkStart w:id="670" w:name="xdx_90D_ecustom--CumulativeDividendsPaya"/>
      <w:bookmarkEnd w:id="670"/>
      <w:r>
        <w:rPr>
          <w:rFonts w:ascii="Times New Roman;Times;Serif" w:hAnsi="Times New Roman;Times;Serif"/>
          <w:b w:val="false"/>
          <w:i w:val="false"/>
          <w:caps w:val="false"/>
          <w:smallCaps w:val="false"/>
          <w:sz w:val="20"/>
        </w:rPr>
        <w:t>1,175 and $</w:t>
      </w:r>
      <w:bookmarkStart w:id="671" w:name="xdx_900_ecustom--CumulativeDividendsPaya"/>
      <w:bookmarkEnd w:id="671"/>
      <w:r>
        <w:rPr>
          <w:rFonts w:ascii="Times New Roman;Times;Serif" w:hAnsi="Times New Roman;Times;Serif"/>
          <w:b w:val="false"/>
          <w:i w:val="false"/>
          <w:caps w:val="false"/>
          <w:smallCaps w:val="false"/>
          <w:sz w:val="20"/>
        </w:rPr>
        <w:t>1,153,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is convertible at the holder’s option into shares of common stock at a conversion price of $</w:t>
      </w:r>
      <w:bookmarkStart w:id="672" w:name="xdx_900_eus-gaap--CommonStockConvertible"/>
      <w:bookmarkEnd w:id="672"/>
      <w:r>
        <w:rPr>
          <w:rFonts w:ascii="Times New Roman;Times;Serif" w:hAnsi="Times New Roman;Times;Serif"/>
          <w:b w:val="false"/>
          <w:i w:val="false"/>
          <w:caps w:val="false"/>
          <w:smallCaps w:val="false"/>
          <w:sz w:val="20"/>
        </w:rPr>
        <w:t>0.3197 per share, based on the stated value of $</w:t>
      </w:r>
      <w:bookmarkStart w:id="673" w:name="xdx_907_eus-gaap--SharesIssuedPricePerSh"/>
      <w:bookmarkEnd w:id="673"/>
      <w:r>
        <w:rPr>
          <w:rFonts w:ascii="Times New Roman;Times;Serif" w:hAnsi="Times New Roman;Times;Serif"/>
          <w:b w:val="false"/>
          <w:i w:val="false"/>
          <w:caps w:val="false"/>
          <w:smallCaps w:val="false"/>
          <w:sz w:val="20"/>
        </w:rPr>
        <w:t xml:space="preserve">1,000 per preferred share. As of March 31, 2026, the outstanding Series C shares were convertible into an aggregate of </w:t>
      </w:r>
      <w:bookmarkStart w:id="674" w:name="xdx_909_eus-gaap--ConversionOfStockShare"/>
      <w:bookmarkEnd w:id="674"/>
      <w:r>
        <w:rPr>
          <w:rFonts w:ascii="Times New Roman;Times;Serif" w:hAnsi="Times New Roman;Times;Serif"/>
          <w:b w:val="false"/>
          <w:i w:val="false"/>
          <w:caps w:val="false"/>
          <w:smallCaps w:val="false"/>
          <w:sz w:val="20"/>
        </w:rPr>
        <w:t xml:space="preserve">434,845 shares of common stock, which includes </w:t>
      </w:r>
      <w:bookmarkStart w:id="675" w:name="xdx_903_eus-gaap--StockIssuedDuringPerio"/>
      <w:bookmarkEnd w:id="675"/>
      <w:r>
        <w:rPr>
          <w:rFonts w:ascii="Times New Roman;Times;Serif" w:hAnsi="Times New Roman;Times;Serif"/>
          <w:b w:val="false"/>
          <w:i w:val="false"/>
          <w:caps w:val="false"/>
          <w:smallCaps w:val="false"/>
          <w:sz w:val="20"/>
        </w:rPr>
        <w:t>106,412 shares issuable for accrued dividends at a conversion rate of $</w:t>
      </w:r>
      <w:bookmarkStart w:id="676" w:name="xdx_903_eus-gaap--PreferredStockConverti"/>
      <w:bookmarkEnd w:id="676"/>
      <w:r>
        <w:rPr>
          <w:rFonts w:ascii="Times New Roman;Times;Serif" w:hAnsi="Times New Roman;Times;Serif"/>
          <w:b w:val="false"/>
          <w:i w:val="false"/>
          <w:caps w:val="false"/>
          <w:smallCaps w:val="false"/>
          <w:sz w:val="20"/>
        </w:rPr>
        <w:t>1.1593 per share. The Series C is subject to full ratchet anti-dilution price protection upon issuance of equity or equity-linked securities at an effective price below $</w:t>
      </w:r>
      <w:bookmarkStart w:id="677" w:name="xdx_90C_ecustom--PreferredStockConvertib"/>
      <w:bookmarkEnd w:id="677"/>
      <w:r>
        <w:rPr>
          <w:rFonts w:ascii="Times New Roman;Times;Serif" w:hAnsi="Times New Roman;Times;Serif"/>
          <w:b w:val="false"/>
          <w:i w:val="false"/>
          <w:caps w:val="false"/>
          <w:smallCaps w:val="false"/>
          <w:sz w:val="20"/>
        </w:rPr>
        <w:t>0.3197 per share, as well as customary anti-dilution adjustments for stock splits and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678" w:name="xdx_904_eus-gaap--CommonStockSharesAutho"/>
      <w:bookmarkEnd w:id="678"/>
      <w:r>
        <w:rPr>
          <w:rFonts w:ascii="Times New Roman;Times;Serif" w:hAnsi="Times New Roman;Times;Serif"/>
          <w:b w:val="false"/>
          <w:i w:val="false"/>
          <w:caps w:val="false"/>
          <w:smallCaps w:val="false"/>
          <w:sz w:val="20"/>
        </w:rPr>
        <w:t>500,000,000 shares of $</w:t>
      </w:r>
      <w:bookmarkStart w:id="679" w:name="xdx_906_eus-gaap--CommonStockParOrStated"/>
      <w:bookmarkEnd w:id="679"/>
      <w:r>
        <w:rPr>
          <w:rFonts w:ascii="Times New Roman;Times;Serif" w:hAnsi="Times New Roman;Times;Serif"/>
          <w:b w:val="false"/>
          <w:i w:val="false"/>
          <w:caps w:val="false"/>
          <w:smallCaps w:val="false"/>
          <w:sz w:val="20"/>
        </w:rPr>
        <w:t xml:space="preserve">0.001 par value common stock. As of March 31, 2026, and December 31, 2025, the Company had </w:t>
      </w:r>
      <w:bookmarkStart w:id="680" w:name="xdx_901_eus-gaap--CommonStockSharesOutst"/>
      <w:bookmarkStart w:id="681" w:name="xdx_904_eus-gaap--CommonStockSharesIssue"/>
      <w:bookmarkEnd w:id="680"/>
      <w:bookmarkEnd w:id="681"/>
      <w:r>
        <w:rPr>
          <w:rFonts w:ascii="Times New Roman;Times;Serif" w:hAnsi="Times New Roman;Times;Serif"/>
          <w:b w:val="false"/>
          <w:i w:val="false"/>
          <w:caps w:val="false"/>
          <w:smallCaps w:val="false"/>
          <w:sz w:val="20"/>
        </w:rPr>
        <w:t xml:space="preserve">97,721,696 and </w:t>
      </w:r>
      <w:bookmarkStart w:id="682" w:name="xdx_90B_eus-gaap--CommonStockSharesOutst"/>
      <w:bookmarkStart w:id="683" w:name="xdx_900_eus-gaap--CommonStockSharesIssue"/>
      <w:bookmarkEnd w:id="682"/>
      <w:bookmarkEnd w:id="683"/>
      <w:r>
        <w:rPr>
          <w:rFonts w:ascii="Times New Roman;Times;Serif" w:hAnsi="Times New Roman;Times;Serif"/>
          <w:b w:val="false"/>
          <w:i w:val="false"/>
          <w:caps w:val="false"/>
          <w:smallCaps w:val="false"/>
          <w:sz w:val="20"/>
        </w:rPr>
        <w:t>49,805,275 shares issued and outstanding,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Exchangeable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holders of Exchangeable Shares converted a total of </w:t>
      </w:r>
      <w:bookmarkStart w:id="684" w:name="xdx_904_eus-gaap--ConversionOfStockShare"/>
      <w:bookmarkEnd w:id="684"/>
      <w:r>
        <w:rPr>
          <w:rFonts w:ascii="Times New Roman;Times;Serif" w:hAnsi="Times New Roman;Times;Serif"/>
          <w:b w:val="false"/>
          <w:i w:val="false"/>
          <w:caps w:val="false"/>
          <w:smallCaps w:val="false"/>
          <w:sz w:val="20"/>
        </w:rPr>
        <w:t xml:space="preserve">24,571,166 Exchangeable Shares into an equal number of shares of the Company’s common stock. As of March 31, 2026 and December 31, 2025, the Company had </w:t>
      </w:r>
      <w:bookmarkStart w:id="685" w:name="xdx_906_eus-gaap--ConversionOfStockShare"/>
      <w:bookmarkEnd w:id="685"/>
      <w:r>
        <w:rPr>
          <w:rFonts w:ascii="Times New Roman;Times;Serif" w:hAnsi="Times New Roman;Times;Serif"/>
          <w:b w:val="false"/>
          <w:i w:val="false"/>
          <w:caps w:val="false"/>
          <w:smallCaps w:val="false"/>
          <w:sz w:val="20"/>
        </w:rPr>
        <w:t xml:space="preserve">83,420,765 and </w:t>
      </w:r>
      <w:bookmarkStart w:id="686" w:name="xdx_907_eus-gaap--ConversionOfStockShare"/>
      <w:bookmarkEnd w:id="686"/>
      <w:r>
        <w:rPr>
          <w:rFonts w:ascii="Times New Roman;Times;Serif" w:hAnsi="Times New Roman;Times;Serif"/>
          <w:b w:val="false"/>
          <w:i w:val="false"/>
          <w:caps w:val="false"/>
          <w:smallCaps w:val="false"/>
          <w:sz w:val="20"/>
        </w:rPr>
        <w:t>107,991,931 Exchangeable Shares outstanding, respectively, each of which is exchangeable on a one-for-one basis for a share of the Company’s common stock, subject to the terms of the 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22, 2026, the Company entered into an underwriting agreement with Needham &amp; Company, LLC, as representative of the several underwriters, in connection with an underwritten public offering of the Company’s common stock. The Company issued </w:t>
      </w:r>
      <w:bookmarkStart w:id="687" w:name="xdx_90E_eus-gaap--SaleOfStockNumberOfSha"/>
      <w:bookmarkEnd w:id="687"/>
      <w:r>
        <w:rPr>
          <w:rFonts w:ascii="Times New Roman;Times;Serif" w:hAnsi="Times New Roman;Times;Serif"/>
          <w:b w:val="false"/>
          <w:i w:val="false"/>
          <w:caps w:val="false"/>
          <w:smallCaps w:val="false"/>
          <w:sz w:val="20"/>
        </w:rPr>
        <w:t>11,666,667 shares of common stock at a public offering price of $</w:t>
      </w:r>
      <w:bookmarkStart w:id="688" w:name="xdx_90D_eus-gaap--SharePrice_iI_pid_c202"/>
      <w:bookmarkEnd w:id="688"/>
      <w:r>
        <w:rPr>
          <w:rFonts w:ascii="Times New Roman;Times;Serif" w:hAnsi="Times New Roman;Times;Serif"/>
          <w:b w:val="false"/>
          <w:i w:val="false"/>
          <w:caps w:val="false"/>
          <w:smallCaps w:val="false"/>
          <w:sz w:val="20"/>
        </w:rPr>
        <w:t xml:space="preserve">3.00 per share. The underwriters fully exercised their over-allotment option, resulting in the issuance of an additional </w:t>
      </w:r>
      <w:bookmarkStart w:id="689" w:name="xdx_903_eus-gaap--AdjustmentsToAdditiona"/>
      <w:bookmarkEnd w:id="689"/>
      <w:r>
        <w:rPr>
          <w:rFonts w:ascii="Times New Roman;Times;Serif" w:hAnsi="Times New Roman;Times;Serif"/>
          <w:b w:val="false"/>
          <w:i w:val="false"/>
          <w:caps w:val="false"/>
          <w:smallCaps w:val="false"/>
          <w:sz w:val="20"/>
        </w:rPr>
        <w:t>1,750,000 shares of common stock. Aggregate gross proceeds from the offering, including the over-allotment option, were approximately $</w:t>
      </w:r>
      <w:bookmarkStart w:id="690" w:name="xdx_900_eus-gaap--ProceedsFromIssuanceIn"/>
      <w:bookmarkEnd w:id="690"/>
      <w:r>
        <w:rPr>
          <w:rFonts w:ascii="Times New Roman;Times;Serif" w:hAnsi="Times New Roman;Times;Serif"/>
          <w:b w:val="false"/>
          <w:i w:val="false"/>
          <w:caps w:val="false"/>
          <w:smallCaps w:val="false"/>
          <w:sz w:val="20"/>
        </w:rPr>
        <w:t>40,250. The Company incurred transaction costs of approximately $</w:t>
      </w:r>
      <w:bookmarkStart w:id="691" w:name="xdx_90C_eus-gaap--OtherExpenses_c2026012"/>
      <w:bookmarkEnd w:id="691"/>
      <w:r>
        <w:rPr>
          <w:rFonts w:ascii="Times New Roman;Times;Serif" w:hAnsi="Times New Roman;Times;Serif"/>
          <w:b w:val="false"/>
          <w:i w:val="false"/>
          <w:caps w:val="false"/>
          <w:smallCaps w:val="false"/>
          <w:sz w:val="20"/>
        </w:rPr>
        <w:t>3,066, including underwriting discounts, commissions, and other offering expenses, resulting in net proceeds of approximately $</w:t>
      </w:r>
      <w:bookmarkStart w:id="692" w:name="xdx_90B_eus-gaap--ProceedsFromIssuanceOf"/>
      <w:bookmarkEnd w:id="692"/>
      <w:r>
        <w:rPr>
          <w:rFonts w:ascii="Times New Roman;Times;Serif" w:hAnsi="Times New Roman;Times;Serif"/>
          <w:b w:val="false"/>
          <w:i w:val="false"/>
          <w:caps w:val="false"/>
          <w:smallCaps w:val="false"/>
          <w:sz w:val="20"/>
        </w:rPr>
        <w:t>37,184.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ATM Sales Agreement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approximately $</w:t>
      </w:r>
      <w:bookmarkStart w:id="693" w:name="xdx_904_eus-gaap--PaymentsOfStockIssuanc"/>
      <w:bookmarkEnd w:id="693"/>
      <w:r>
        <w:rPr>
          <w:rFonts w:ascii="Times New Roman;Times;Serif" w:hAnsi="Times New Roman;Times;Serif"/>
          <w:b w:val="false"/>
          <w:i w:val="false"/>
          <w:caps w:val="false"/>
          <w:smallCaps w:val="false"/>
          <w:sz w:val="20"/>
        </w:rPr>
        <w:t>4,500 of remaining capacity under its At The Market Offering Agreement with H.C. Wainwright &amp; Co., LLC, dated December 18, 2024. No shares were sold under the ATM Offering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approximately $</w:t>
      </w:r>
      <w:bookmarkStart w:id="694" w:name="xdx_906_eus-gaap--CommonStockShareSubscr"/>
      <w:bookmarkEnd w:id="694"/>
      <w:r>
        <w:rPr>
          <w:rFonts w:ascii="Times New Roman;Times;Serif" w:hAnsi="Times New Roman;Times;Serif"/>
          <w:b w:val="false"/>
          <w:i w:val="false"/>
          <w:caps w:val="false"/>
          <w:smallCaps w:val="false"/>
          <w:sz w:val="20"/>
        </w:rPr>
        <w:t>5,000 of remaining capacity under its Equity Subscription Agreement with Lind Global Fund III, LP, dated February 28, 2025, subject to the filing and effectiveness of a registration statement. No advances have been made under the Subscription Agreement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95" w:name="xdx_80A_eus-gaap--ShareholdersEquityAndS"/>
      <w:bookmarkEnd w:id="695"/>
      <w:r>
        <w:rPr>
          <w:rFonts w:ascii="Times New Roman;Times;Serif" w:hAnsi="Times New Roman;Times;Serif"/>
          <w:b/>
          <w:i w:val="false"/>
          <w:caps w:val="false"/>
          <w:smallCaps w:val="false"/>
          <w:sz w:val="20"/>
        </w:rPr>
        <w:t>NOTE 14</w:t>
      </w:r>
      <w:r>
        <w:rPr>
          <w:rFonts w:ascii="Times New Roman;Times;Serif" w:hAnsi="Times New Roman;Times;Serif"/>
          <w:b w:val="false"/>
          <w:i w:val="false"/>
          <w:caps w:val="false"/>
          <w:smallCaps w:val="false"/>
          <w:sz w:val="20"/>
        </w:rPr>
        <w:t xml:space="preserve"> – </w:t>
      </w:r>
      <w:bookmarkStart w:id="696" w:name="xdx_821_z2H4Kuj7NSqc"/>
      <w:bookmarkEnd w:id="696"/>
      <w:r>
        <w:rPr>
          <w:rFonts w:ascii="Times New Roman;Times;Serif" w:hAnsi="Times New Roman;Times;Serif"/>
          <w:b/>
          <w:i w:val="false"/>
          <w:caps w:val="false"/>
          <w:smallCaps w:val="false"/>
          <w:sz w:val="20"/>
        </w:rPr>
        <w:t>OPTIONS, RESTRICTED STOCK UNITS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Streamex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approved the Third Amendment to the Company’s 2023 Long-Term Incentive Plan (the “Incentive Plan Amendment”) on September 5, 2025, increasing the total number of shares authorized for issuance under the plan by </w:t>
      </w:r>
      <w:bookmarkStart w:id="697" w:name="xdx_90C_eus-gaap--StockIssuedDuringPerio"/>
      <w:bookmarkEnd w:id="697"/>
      <w:r>
        <w:rPr>
          <w:rFonts w:ascii="Times New Roman;Times;Serif" w:hAnsi="Times New Roman;Times;Serif"/>
          <w:b w:val="false"/>
          <w:i w:val="false"/>
          <w:caps w:val="false"/>
          <w:smallCaps w:val="false"/>
          <w:sz w:val="20"/>
        </w:rPr>
        <w:t xml:space="preserve">10,359,211 shares, from </w:t>
      </w:r>
      <w:bookmarkStart w:id="698" w:name="xdx_903_eus-gaap--CapitalUnitsAuthorized"/>
      <w:bookmarkEnd w:id="698"/>
      <w:r>
        <w:rPr>
          <w:rFonts w:ascii="Times New Roman;Times;Serif" w:hAnsi="Times New Roman;Times;Serif"/>
          <w:b w:val="false"/>
          <w:i w:val="false"/>
          <w:caps w:val="false"/>
          <w:smallCaps w:val="false"/>
          <w:sz w:val="20"/>
        </w:rPr>
        <w:t xml:space="preserve">4,376,595 shares to </w:t>
      </w:r>
      <w:bookmarkStart w:id="699" w:name="xdx_90A_eus-gaap--CapitalUnitsAuthorized"/>
      <w:bookmarkEnd w:id="699"/>
      <w:r>
        <w:rPr>
          <w:rFonts w:ascii="Times New Roman;Times;Serif" w:hAnsi="Times New Roman;Times;Serif"/>
          <w:b w:val="false"/>
          <w:i w:val="false"/>
          <w:caps w:val="false"/>
          <w:smallCaps w:val="false"/>
          <w:sz w:val="20"/>
        </w:rPr>
        <w:t>14,735,806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approved the Fourth Amendment to the Company’s 2023 Long-Term Incentive Plan on December 30, 2025, increasing the total number of shares authorized for issuance under the plan by </w:t>
      </w:r>
      <w:bookmarkStart w:id="700" w:name="xdx_901_eus-gaap--StockIssuedDuringPerio"/>
      <w:bookmarkEnd w:id="700"/>
      <w:r>
        <w:rPr>
          <w:rFonts w:ascii="Times New Roman;Times;Serif" w:hAnsi="Times New Roman;Times;Serif"/>
          <w:b w:val="false"/>
          <w:i w:val="false"/>
          <w:caps w:val="false"/>
          <w:smallCaps w:val="false"/>
          <w:sz w:val="20"/>
        </w:rPr>
        <w:t xml:space="preserve">22,494,324 shares, from </w:t>
      </w:r>
      <w:bookmarkStart w:id="701" w:name="xdx_904_eus-gaap--CapitalUnitsAuthorized"/>
      <w:bookmarkEnd w:id="701"/>
      <w:r>
        <w:rPr>
          <w:rFonts w:ascii="Times New Roman;Times;Serif" w:hAnsi="Times New Roman;Times;Serif"/>
          <w:b w:val="false"/>
          <w:i w:val="false"/>
          <w:caps w:val="false"/>
          <w:smallCaps w:val="false"/>
          <w:sz w:val="20"/>
        </w:rPr>
        <w:t xml:space="preserve">14,735,806 shares to </w:t>
      </w:r>
      <w:bookmarkStart w:id="702" w:name="xdx_908_eus-gaap--CapitalUnitsAuthorized"/>
      <w:bookmarkEnd w:id="702"/>
      <w:r>
        <w:rPr>
          <w:rFonts w:ascii="Times New Roman;Times;Serif" w:hAnsi="Times New Roman;Times;Serif"/>
          <w:b w:val="false"/>
          <w:i w:val="false"/>
          <w:caps w:val="false"/>
          <w:smallCaps w:val="false"/>
          <w:sz w:val="20"/>
        </w:rPr>
        <w:t>37,230,130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there were </w:t>
      </w:r>
      <w:bookmarkStart w:id="703" w:name="xdx_902_eus-gaap--StockIssuedDuringPerio"/>
      <w:bookmarkEnd w:id="703"/>
      <w:r>
        <w:rPr>
          <w:rFonts w:ascii="Times New Roman;Times;Serif" w:hAnsi="Times New Roman;Times;Serif"/>
          <w:b w:val="false"/>
          <w:i w:val="false"/>
          <w:caps w:val="false"/>
          <w:smallCaps w:val="false"/>
          <w:sz w:val="20"/>
        </w:rPr>
        <w:t>18,109,340 shares available under the 2023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valuation models require the input of highly subjective assumptions. The fair value of stock-based payment awards was estimated using the Black-Scholes option model with a volatility figure derived from historical stock prices of the Company. The Company accounts for the expected life of options based on the contractual life of options for non-employees.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employees, the Company accounts for the expected life of options in accordance with the “simplified” method, which is used for “plain-vanilla” options, as defined in the accounting standards codification. The risk-free interest rate was determined from the implied yields of U.S. Treasury zero-coupon bonds with a remaining life consistent with the expected term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4" w:name="xdx_896_eus-gaap--ScheduleOfShareBasedCo"/>
      <w:bookmarkEnd w:id="704"/>
      <w:r>
        <w:rPr>
          <w:rFonts w:ascii="Times New Roman;Times;Serif" w:hAnsi="Times New Roman;Times;Serif"/>
          <w:b w:val="false"/>
          <w:i w:val="false"/>
          <w:caps w:val="false"/>
          <w:smallCaps w:val="false"/>
          <w:sz w:val="20"/>
        </w:rPr>
        <w:t>The following table presents information related to stock options as of March 31, 2026:</w:t>
      </w:r>
    </w:p>
    <w:p>
      <w:pPr>
        <w:pStyle w:val="TextBody"/>
        <w:bidi w:val="0"/>
        <w:spacing w:before="0" w:after="0"/>
        <w:ind w:left="0" w:right="0" w:hanging="0"/>
        <w:jc w:val="both"/>
        <w:rPr>
          <w:caps w:val="false"/>
          <w:smallCaps w:val="false"/>
        </w:rPr>
      </w:pPr>
      <w:r>
        <w:rPr>
          <w:caps w:val="false"/>
          <w:smallCaps w:val="false"/>
        </w:rPr>
        <w:t> </w:t>
      </w:r>
      <w:bookmarkStart w:id="705" w:name="xdx_8BB_zI5WVqvy4qt1"/>
      <w:bookmarkEnd w:id="705"/>
      <w:r>
        <w:rPr>
          <w:rFonts w:ascii="Times New Roman;Times;Serif" w:hAnsi="Times New Roman;Times;Serif"/>
          <w:b w:val="false"/>
          <w:i w:val="false"/>
          <w:caps w:val="false"/>
          <w:smallCaps w:val="false"/>
          <w:sz w:val="20"/>
        </w:rPr>
        <w:t>SCHEDULE OF EXERCISE PRICE OF STOCK OPTIONS</w:t>
      </w:r>
    </w:p>
    <w:tbl>
      <w:tblPr>
        <w:tblW w:w="8422" w:type="dxa"/>
        <w:jc w:val="left"/>
        <w:tblInd w:w="0" w:type="dxa"/>
        <w:tblLayout w:type="fixed"/>
        <w:tblCellMar>
          <w:top w:w="0" w:type="dxa"/>
          <w:left w:w="0" w:type="dxa"/>
          <w:bottom w:w="28" w:type="dxa"/>
          <w:right w:w="0" w:type="dxa"/>
        </w:tblCellMar>
      </w:tblPr>
      <w:tblGrid>
        <w:gridCol w:w="155"/>
        <w:gridCol w:w="1175"/>
        <w:gridCol w:w="60"/>
        <w:gridCol w:w="65"/>
        <w:gridCol w:w="1064"/>
        <w:gridCol w:w="60"/>
        <w:gridCol w:w="60"/>
        <w:gridCol w:w="558"/>
        <w:gridCol w:w="2986"/>
        <w:gridCol w:w="60"/>
        <w:gridCol w:w="60"/>
        <w:gridCol w:w="116"/>
        <w:gridCol w:w="1928"/>
        <w:gridCol w:w="75"/>
      </w:tblGrid>
      <w:tr>
        <w:trPr/>
        <w:tc>
          <w:tcPr>
            <w:tcW w:w="6183" w:type="dxa"/>
            <w:gridSpan w:val="9"/>
            <w:tcBorders>
              <w:bottom w:val="single" w:sz="8" w:space="0" w:color="000000"/>
            </w:tcBorders>
            <w:vAlign w:val="center"/>
          </w:tcPr>
          <w:p>
            <w:pPr>
              <w:pStyle w:val="TableContents"/>
              <w:bidi w:val="0"/>
              <w:spacing w:before="0" w:after="283"/>
              <w:jc w:val="center"/>
              <w:rPr>
                <w:b/>
              </w:rPr>
            </w:pPr>
            <w:r>
              <w:rPr>
                <w:b/>
              </w:rPr>
              <w:t>Options 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bottom w:val="single" w:sz="8" w:space="0" w:color="000000"/>
            </w:tcBorders>
            <w:vAlign w:val="center"/>
          </w:tcPr>
          <w:p>
            <w:pPr>
              <w:pStyle w:val="TableContents"/>
              <w:bidi w:val="0"/>
              <w:spacing w:before="0" w:after="283"/>
              <w:jc w:val="center"/>
              <w:rPr>
                <w:b/>
              </w:rPr>
            </w:pPr>
            <w:r>
              <w:rPr>
                <w:b/>
              </w:rPr>
              <w:t>Options Exercisable</w:t>
            </w:r>
          </w:p>
        </w:tc>
        <w:tc>
          <w:tcPr>
            <w:tcW w:w="75" w:type="dxa"/>
            <w:tcBorders/>
            <w:tcMar>
              <w:bottom w:w="0" w:type="dxa"/>
            </w:tcMar>
            <w:vAlign w:val="center"/>
          </w:tcPr>
          <w:p>
            <w:pPr>
              <w:pStyle w:val="TableContents"/>
              <w:bidi w:val="0"/>
              <w:spacing w:before="0" w:after="283"/>
              <w:jc w:val="left"/>
              <w:rPr/>
            </w:pPr>
            <w:r>
              <w:rPr/>
              <w:t> </w:t>
            </w:r>
          </w:p>
        </w:tc>
      </w:tr>
      <w:tr>
        <w:trPr/>
        <w:tc>
          <w:tcPr>
            <w:tcW w:w="1330" w:type="dxa"/>
            <w:gridSpan w:val="2"/>
            <w:tcBorders/>
            <w:tcMar>
              <w:bottom w:w="0" w:type="dxa"/>
            </w:tcMar>
            <w:vAlign w:val="center"/>
          </w:tcPr>
          <w:p>
            <w:pPr>
              <w:pStyle w:val="TableContents"/>
              <w:bidi w:val="0"/>
              <w:spacing w:before="0" w:after="283"/>
              <w:jc w:val="center"/>
              <w:rPr>
                <w:b/>
              </w:rPr>
            </w:pPr>
            <w:r>
              <w:rPr>
                <w:b/>
              </w:rPr>
              <w:t>Exercise</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tcMar>
              <w:bottom w:w="0" w:type="dxa"/>
            </w:tcMar>
            <w:vAlign w:val="center"/>
          </w:tcPr>
          <w:p>
            <w:pPr>
              <w:pStyle w:val="TableContents"/>
              <w:bidi w:val="0"/>
              <w:spacing w:before="0" w:after="283"/>
              <w:jc w:val="center"/>
              <w:rPr>
                <w:b/>
              </w:rPr>
            </w:pPr>
            <w:r>
              <w:rPr>
                <w:b/>
              </w:rPr>
              <w:t>Number of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44" w:type="dxa"/>
            <w:gridSpan w:val="2"/>
            <w:tcBorders/>
            <w:tcMar>
              <w:bottom w:w="0" w:type="dxa"/>
            </w:tcMar>
            <w:vAlign w:val="center"/>
          </w:tcPr>
          <w:p>
            <w:pPr>
              <w:pStyle w:val="TableContents"/>
              <w:bidi w:val="0"/>
              <w:spacing w:before="0" w:after="283"/>
              <w:jc w:val="center"/>
              <w:rPr>
                <w:b/>
              </w:rPr>
            </w:pPr>
            <w:r>
              <w:rPr>
                <w:b/>
              </w:rPr>
              <w:t>Weighted Average Remaining Life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44" w:type="dxa"/>
            <w:gridSpan w:val="2"/>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3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75" w:type="dxa"/>
            <w:tcBorders/>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 xml:space="preserve">Under </w:t>
            </w:r>
            <w:bookmarkStart w:id="706" w:name="xdx_908_eus-gaap--ShareBasedCompensation"/>
            <w:bookmarkEnd w:id="706"/>
            <w:r>
              <w:rPr/>
              <w:t>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707" w:name="xdx_98E_eus-gaap--ShareBasedCompensation"/>
            <w:bookmarkEnd w:id="707"/>
          </w:p>
        </w:tc>
        <w:tc>
          <w:tcPr>
            <w:tcW w:w="1064" w:type="dxa"/>
            <w:tcBorders/>
            <w:shd w:fill="CCEEFF" w:val="clear"/>
            <w:tcMar>
              <w:bottom w:w="0" w:type="dxa"/>
            </w:tcMar>
            <w:vAlign w:val="center"/>
          </w:tcPr>
          <w:p>
            <w:pPr>
              <w:pStyle w:val="TableContents"/>
              <w:bidi w:val="0"/>
              <w:spacing w:before="0" w:after="283"/>
              <w:jc w:val="right"/>
              <w:rPr/>
            </w:pPr>
            <w:r>
              <w:rPr/>
              <w:t>2,900,000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left"/>
              <w:rPr/>
            </w:pPr>
            <w:r>
              <w:rPr/>
              <w:t> </w:t>
            </w:r>
            <w:bookmarkStart w:id="708" w:name="xdx_989_eus-gaap--SharebasedCompensation"/>
            <w:bookmarkEnd w:id="708"/>
          </w:p>
        </w:tc>
        <w:tc>
          <w:tcPr>
            <w:tcW w:w="2986" w:type="dxa"/>
            <w:tcBorders/>
            <w:shd w:fill="CCEEFF" w:val="clear"/>
            <w:tcMar>
              <w:bottom w:w="0" w:type="dxa"/>
            </w:tcMar>
            <w:vAlign w:val="center"/>
          </w:tcPr>
          <w:p>
            <w:pPr>
              <w:pStyle w:val="TableContents"/>
              <w:bidi w:val="0"/>
              <w:spacing w:before="0" w:after="283"/>
              <w:jc w:val="right"/>
              <w:rPr/>
            </w:pPr>
            <w:r>
              <w:rPr/>
              <w:t>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709" w:name="xdx_98B_eus-gaap--ShareBasedCompensation"/>
            <w:bookmarkEnd w:id="709"/>
          </w:p>
        </w:tc>
        <w:tc>
          <w:tcPr>
            <w:tcW w:w="1928" w:type="dxa"/>
            <w:tcBorders/>
            <w:shd w:fill="CCEEFF" w:val="clear"/>
            <w:tcMar>
              <w:bottom w:w="0" w:type="dxa"/>
            </w:tcMar>
            <w:vAlign w:val="center"/>
          </w:tcPr>
          <w:p>
            <w:pPr>
              <w:pStyle w:val="TableContents"/>
              <w:bidi w:val="0"/>
              <w:spacing w:before="0" w:after="283"/>
              <w:jc w:val="right"/>
              <w:rPr/>
            </w:pPr>
            <w:r>
              <w:rPr/>
              <w:t>2,900,000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bookmarkStart w:id="710" w:name="xdx_90A_eus-gaap--ShareBasedCompensation"/>
            <w:bookmarkEnd w:id="710"/>
            <w:r>
              <w:rPr/>
              <w:t>10.00-</w:t>
            </w:r>
            <w:bookmarkStart w:id="711" w:name="xdx_90A_eus-gaap--ShareBasedCompensation"/>
            <w:bookmarkEnd w:id="711"/>
            <w:r>
              <w:rPr/>
              <w:t>19.99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bookmarkStart w:id="712" w:name="xdx_981_eus-gaap--ShareBasedCompensation"/>
            <w:bookmarkEnd w:id="712"/>
          </w:p>
        </w:tc>
        <w:tc>
          <w:tcPr>
            <w:tcW w:w="1064" w:type="dxa"/>
            <w:tcBorders/>
            <w:shd w:fill="FFFFFF" w:val="clear"/>
            <w:tcMar>
              <w:bottom w:w="0" w:type="dxa"/>
            </w:tcMar>
            <w:vAlign w:val="center"/>
          </w:tcPr>
          <w:p>
            <w:pPr>
              <w:pStyle w:val="TableContents"/>
              <w:bidi w:val="0"/>
              <w:spacing w:before="0" w:after="283"/>
              <w:jc w:val="right"/>
              <w:rPr/>
            </w:pPr>
            <w:r>
              <w:rPr/>
              <w:t>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left"/>
              <w:rPr/>
            </w:pPr>
            <w:r>
              <w:rPr/>
              <w:t> </w:t>
            </w:r>
            <w:bookmarkStart w:id="713" w:name="xdx_98F_eus-gaap--SharebasedCompensation"/>
            <w:bookmarkEnd w:id="713"/>
          </w:p>
        </w:tc>
        <w:tc>
          <w:tcPr>
            <w:tcW w:w="2986" w:type="dxa"/>
            <w:tcBorders/>
            <w:shd w:fill="FFFFFF" w:val="clear"/>
            <w:tcMar>
              <w:bottom w:w="0" w:type="dxa"/>
            </w:tcMar>
            <w:vAlign w:val="center"/>
          </w:tcPr>
          <w:p>
            <w:pPr>
              <w:pStyle w:val="TableContents"/>
              <w:bidi w:val="0"/>
              <w:spacing w:before="0" w:after="283"/>
              <w:jc w:val="right"/>
              <w:rPr/>
            </w:pPr>
            <w:r>
              <w:rPr/>
              <w:t>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bookmarkStart w:id="714" w:name="xdx_98E_eus-gaap--ShareBasedCompensation"/>
            <w:bookmarkEnd w:id="714"/>
          </w:p>
        </w:tc>
        <w:tc>
          <w:tcPr>
            <w:tcW w:w="1928" w:type="dxa"/>
            <w:tcBorders/>
            <w:shd w:fill="FFFFFF" w:val="clear"/>
            <w:tcMar>
              <w:bottom w:w="0" w:type="dxa"/>
            </w:tcMar>
            <w:vAlign w:val="center"/>
          </w:tcPr>
          <w:p>
            <w:pPr>
              <w:pStyle w:val="TableContents"/>
              <w:bidi w:val="0"/>
              <w:spacing w:before="0" w:after="283"/>
              <w:jc w:val="right"/>
              <w:rPr/>
            </w:pPr>
            <w:r>
              <w:rPr/>
              <w:t>15,000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bookmarkStart w:id="715" w:name="xdx_907_eus-gaap--ShareBasedCompensation"/>
            <w:bookmarkEnd w:id="715"/>
            <w:r>
              <w:rPr/>
              <w:t>20.00-</w:t>
            </w:r>
            <w:bookmarkStart w:id="716" w:name="xdx_90D_eus-gaap--ShareBasedCompensation"/>
            <w:bookmarkEnd w:id="716"/>
            <w:r>
              <w:rPr/>
              <w:t>49.99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717" w:name="xdx_98B_eus-gaap--ShareBasedCompensation"/>
            <w:bookmarkEnd w:id="717"/>
          </w:p>
        </w:tc>
        <w:tc>
          <w:tcPr>
            <w:tcW w:w="1064" w:type="dxa"/>
            <w:tcBorders/>
            <w:shd w:fill="CCEEFF" w:val="clear"/>
            <w:tcMar>
              <w:bottom w:w="0" w:type="dxa"/>
            </w:tcMar>
            <w:vAlign w:val="center"/>
          </w:tcPr>
          <w:p>
            <w:pPr>
              <w:pStyle w:val="TableContents"/>
              <w:bidi w:val="0"/>
              <w:spacing w:before="0" w:after="283"/>
              <w:jc w:val="right"/>
              <w:rPr/>
            </w:pPr>
            <w:r>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left"/>
              <w:rPr/>
            </w:pPr>
            <w:r>
              <w:rPr/>
              <w:t> </w:t>
            </w:r>
            <w:bookmarkStart w:id="718" w:name="xdx_98B_eus-gaap--SharebasedCompensation"/>
            <w:bookmarkEnd w:id="718"/>
          </w:p>
        </w:tc>
        <w:tc>
          <w:tcPr>
            <w:tcW w:w="2986" w:type="dxa"/>
            <w:tcBorders/>
            <w:shd w:fill="CCEEFF" w:val="clear"/>
            <w:tcMar>
              <w:bottom w:w="0" w:type="dxa"/>
            </w:tcMar>
            <w:vAlign w:val="center"/>
          </w:tcPr>
          <w:p>
            <w:pPr>
              <w:pStyle w:val="TableContents"/>
              <w:bidi w:val="0"/>
              <w:spacing w:before="0" w:after="283"/>
              <w:jc w:val="right"/>
              <w:rPr/>
            </w:pPr>
            <w:r>
              <w:rPr/>
              <w:t>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719" w:name="xdx_98F_eus-gaap--ShareBasedCompensation"/>
            <w:bookmarkEnd w:id="719"/>
          </w:p>
        </w:tc>
        <w:tc>
          <w:tcPr>
            <w:tcW w:w="1928" w:type="dxa"/>
            <w:tcBorders/>
            <w:shd w:fill="CCEEFF" w:val="clear"/>
            <w:tcMar>
              <w:bottom w:w="0" w:type="dxa"/>
            </w:tcMar>
            <w:vAlign w:val="center"/>
          </w:tcPr>
          <w:p>
            <w:pPr>
              <w:pStyle w:val="TableContents"/>
              <w:bidi w:val="0"/>
              <w:spacing w:before="0" w:after="283"/>
              <w:jc w:val="right"/>
              <w:rPr/>
            </w:pPr>
            <w:r>
              <w:rPr/>
              <w:t>3,000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5" w:type="dxa"/>
            <w:tcBorders/>
            <w:shd w:fill="FFFFFF" w:val="clear"/>
            <w:tcMar>
              <w:bottom w:w="0" w:type="dxa"/>
            </w:tcMar>
            <w:vAlign w:val="center"/>
          </w:tcPr>
          <w:p>
            <w:pPr>
              <w:pStyle w:val="TableContents"/>
              <w:bidi w:val="0"/>
              <w:spacing w:before="0" w:after="283"/>
              <w:jc w:val="left"/>
              <w:rPr/>
            </w:pPr>
            <w:r>
              <w:rPr/>
              <w:t>$</w:t>
            </w:r>
          </w:p>
        </w:tc>
        <w:tc>
          <w:tcPr>
            <w:tcW w:w="1175" w:type="dxa"/>
            <w:tcBorders/>
            <w:shd w:fill="FFFFFF" w:val="clear"/>
            <w:tcMar>
              <w:bottom w:w="0" w:type="dxa"/>
            </w:tcMar>
            <w:vAlign w:val="center"/>
          </w:tcPr>
          <w:p>
            <w:pPr>
              <w:pStyle w:val="TableContents"/>
              <w:bidi w:val="0"/>
              <w:spacing w:before="0" w:after="283"/>
              <w:jc w:val="right"/>
              <w:rPr/>
            </w:pPr>
            <w:bookmarkStart w:id="720" w:name="xdx_902_eus-gaap--ShareBasedCompensation"/>
            <w:bookmarkEnd w:id="720"/>
            <w:r>
              <w:rPr/>
              <w:t>50.00-</w:t>
            </w:r>
            <w:bookmarkStart w:id="721" w:name="xdx_90E_eus-gaap--ShareBasedCompensation"/>
            <w:bookmarkEnd w:id="721"/>
            <w:r>
              <w:rPr/>
              <w:t>69.99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bottom w:val="single" w:sz="8" w:space="0" w:color="000000"/>
            </w:tcBorders>
            <w:shd w:fill="FFFFFF" w:val="clear"/>
            <w:vAlign w:val="center"/>
          </w:tcPr>
          <w:p>
            <w:pPr>
              <w:pStyle w:val="TableContents"/>
              <w:bidi w:val="0"/>
              <w:spacing w:before="0" w:after="283"/>
              <w:jc w:val="left"/>
              <w:rPr/>
            </w:pPr>
            <w:r>
              <w:rPr/>
              <w:t> </w:t>
            </w:r>
            <w:bookmarkStart w:id="722" w:name="xdx_98F_eus-gaap--ShareBasedCompensation"/>
            <w:bookmarkEnd w:id="722"/>
          </w:p>
        </w:tc>
        <w:tc>
          <w:tcPr>
            <w:tcW w:w="1064" w:type="dxa"/>
            <w:tcBorders>
              <w:bottom w:val="single" w:sz="8" w:space="0" w:color="000000"/>
            </w:tcBorders>
            <w:shd w:fill="FFFFFF" w:val="clear"/>
            <w:vAlign w:val="center"/>
          </w:tcPr>
          <w:p>
            <w:pPr>
              <w:pStyle w:val="TableContents"/>
              <w:bidi w:val="0"/>
              <w:spacing w:before="0" w:after="283"/>
              <w:jc w:val="right"/>
              <w:rPr/>
            </w:pPr>
            <w:r>
              <w:rPr/>
              <w:t>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58" w:type="dxa"/>
            <w:tcBorders/>
            <w:shd w:fill="FFFFFF" w:val="clear"/>
            <w:tcMar>
              <w:bottom w:w="0" w:type="dxa"/>
            </w:tcMar>
            <w:vAlign w:val="center"/>
          </w:tcPr>
          <w:p>
            <w:pPr>
              <w:pStyle w:val="TableContents"/>
              <w:bidi w:val="0"/>
              <w:spacing w:before="0" w:after="283"/>
              <w:jc w:val="left"/>
              <w:rPr/>
            </w:pPr>
            <w:r>
              <w:rPr/>
              <w:t> </w:t>
            </w:r>
            <w:bookmarkStart w:id="723" w:name="xdx_98B_eus-gaap--SharebasedCompensation"/>
            <w:bookmarkEnd w:id="723"/>
          </w:p>
        </w:tc>
        <w:tc>
          <w:tcPr>
            <w:tcW w:w="2986" w:type="dxa"/>
            <w:tcBorders/>
            <w:shd w:fill="FFFFFF" w:val="clear"/>
            <w:tcMar>
              <w:bottom w:w="0" w:type="dxa"/>
            </w:tcMar>
            <w:vAlign w:val="center"/>
          </w:tcPr>
          <w:p>
            <w:pPr>
              <w:pStyle w:val="TableContents"/>
              <w:bidi w:val="0"/>
              <w:spacing w:before="0" w:after="283"/>
              <w:jc w:val="right"/>
              <w:rPr/>
            </w:pPr>
            <w:r>
              <w:rPr/>
              <w:t>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bottom w:val="single" w:sz="8" w:space="0" w:color="000000"/>
            </w:tcBorders>
            <w:shd w:fill="FFFFFF" w:val="clear"/>
            <w:vAlign w:val="center"/>
          </w:tcPr>
          <w:p>
            <w:pPr>
              <w:pStyle w:val="TableContents"/>
              <w:bidi w:val="0"/>
              <w:spacing w:before="0" w:after="283"/>
              <w:jc w:val="left"/>
              <w:rPr/>
            </w:pPr>
            <w:r>
              <w:rPr/>
              <w:t> </w:t>
            </w:r>
            <w:bookmarkStart w:id="724" w:name="xdx_98F_eus-gaap--ShareBasedCompensation"/>
            <w:bookmarkEnd w:id="724"/>
          </w:p>
        </w:tc>
        <w:tc>
          <w:tcPr>
            <w:tcW w:w="1928" w:type="dxa"/>
            <w:tcBorders>
              <w:bottom w:val="single" w:sz="8" w:space="0" w:color="000000"/>
            </w:tcBorders>
            <w:shd w:fill="FFFFFF" w:val="clear"/>
            <w:vAlign w:val="center"/>
          </w:tcPr>
          <w:p>
            <w:pPr>
              <w:pStyle w:val="TableContents"/>
              <w:bidi w:val="0"/>
              <w:spacing w:before="0" w:after="283"/>
              <w:jc w:val="right"/>
              <w:rPr/>
            </w:pPr>
            <w:r>
              <w:rPr/>
              <w:t>3,000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17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bookmarkStart w:id="725" w:name="xdx_98E_eus-gaap--ShareBasedCompensation"/>
            <w:bookmarkEnd w:id="725"/>
          </w:p>
        </w:tc>
        <w:tc>
          <w:tcPr>
            <w:tcW w:w="1064" w:type="dxa"/>
            <w:tcBorders/>
            <w:shd w:fill="CCEEFF" w:val="clear"/>
            <w:tcMar>
              <w:bottom w:w="0" w:type="dxa"/>
            </w:tcMar>
            <w:vAlign w:val="center"/>
          </w:tcPr>
          <w:p>
            <w:pPr>
              <w:pStyle w:val="TableContents"/>
              <w:bidi w:val="0"/>
              <w:spacing w:before="0" w:after="283"/>
              <w:jc w:val="right"/>
              <w:rPr/>
            </w:pPr>
            <w:r>
              <w:rPr/>
              <w:t>2,921,000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8" w:type="dxa"/>
            <w:tcBorders/>
            <w:shd w:fill="CCEEFF" w:val="clear"/>
            <w:tcMar>
              <w:bottom w:w="0" w:type="dxa"/>
            </w:tcMar>
            <w:vAlign w:val="center"/>
          </w:tcPr>
          <w:p>
            <w:pPr>
              <w:pStyle w:val="TableContents"/>
              <w:bidi w:val="0"/>
              <w:spacing w:before="0" w:after="283"/>
              <w:jc w:val="left"/>
              <w:rPr/>
            </w:pPr>
            <w:r>
              <w:rPr/>
              <w:t> </w:t>
            </w:r>
          </w:p>
        </w:tc>
        <w:tc>
          <w:tcPr>
            <w:tcW w:w="2986" w:type="dxa"/>
            <w:tcBorders/>
            <w:shd w:fill="CCEEFF" w:val="clear"/>
            <w:tcMar>
              <w:bottom w:w="0" w:type="dxa"/>
            </w:tcMar>
            <w:vAlign w:val="center"/>
          </w:tcPr>
          <w:p>
            <w:pPr>
              <w:pStyle w:val="TableContents"/>
              <w:bidi w:val="0"/>
              <w:spacing w:before="0" w:after="283"/>
              <w:jc w:val="right"/>
              <w:rPr/>
            </w:pPr>
            <w:bookmarkStart w:id="726" w:name="xdx_90F_eus-gaap--SharebasedCompensation"/>
            <w:bookmarkEnd w:id="726"/>
            <w:r>
              <w:rPr/>
              <w:t>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bookmarkStart w:id="727" w:name="xdx_988_eus-gaap--ShareBasedCompensation"/>
            <w:bookmarkEnd w:id="727"/>
          </w:p>
        </w:tc>
        <w:tc>
          <w:tcPr>
            <w:tcW w:w="1928" w:type="dxa"/>
            <w:tcBorders/>
            <w:shd w:fill="CCEEFF" w:val="clear"/>
            <w:tcMar>
              <w:bottom w:w="0" w:type="dxa"/>
            </w:tcMar>
            <w:vAlign w:val="center"/>
          </w:tcPr>
          <w:p>
            <w:pPr>
              <w:pStyle w:val="TableContents"/>
              <w:bidi w:val="0"/>
              <w:spacing w:before="0" w:after="283"/>
              <w:jc w:val="right"/>
              <w:rPr/>
            </w:pPr>
            <w:r>
              <w:rPr/>
              <w:t>2,921,000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28" w:name="xdx_8AE_z4QlC4yNbm4c"/>
      <w:bookmarkEnd w:id="72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9" w:name="xdx_898_eus-gaap--ScheduleOfShareBasedCo"/>
      <w:bookmarkEnd w:id="729"/>
      <w:r>
        <w:rPr>
          <w:rFonts w:ascii="Times New Roman;Times;Serif" w:hAnsi="Times New Roman;Times;Serif"/>
          <w:b w:val="false"/>
          <w:i w:val="false"/>
          <w:caps w:val="false"/>
          <w:smallCaps w:val="false"/>
          <w:sz w:val="20"/>
        </w:rPr>
        <w:t>A summary of the stock option activity and related information for the Plan for the three months ended March 31, 2026 is as follows:</w:t>
      </w:r>
    </w:p>
    <w:p>
      <w:pPr>
        <w:pStyle w:val="TextBody"/>
        <w:bidi w:val="0"/>
        <w:spacing w:before="0" w:after="0"/>
        <w:ind w:left="0" w:right="0" w:hanging="0"/>
        <w:jc w:val="both"/>
        <w:rPr>
          <w:caps w:val="false"/>
          <w:smallCaps w:val="false"/>
        </w:rPr>
      </w:pPr>
      <w:r>
        <w:rPr>
          <w:caps w:val="false"/>
          <w:smallCaps w:val="false"/>
        </w:rPr>
        <w:t> </w:t>
      </w:r>
      <w:bookmarkStart w:id="730" w:name="xdx_8B4_zpdDj7RBpzB3"/>
      <w:bookmarkEnd w:id="730"/>
      <w:r>
        <w:rPr>
          <w:rFonts w:ascii="Times New Roman;Times;Serif" w:hAnsi="Times New Roman;Times;Serif"/>
          <w:b w:val="false"/>
          <w:i w:val="false"/>
          <w:caps w:val="false"/>
          <w:smallCaps w:val="false"/>
          <w:sz w:val="20"/>
        </w:rPr>
        <w:t>SCHEDULE OF STOCK OPTION ACTIVITY</w:t>
      </w:r>
    </w:p>
    <w:tbl>
      <w:tblPr>
        <w:tblW w:w="10205" w:type="dxa"/>
        <w:jc w:val="left"/>
        <w:tblInd w:w="0" w:type="dxa"/>
        <w:tblLayout w:type="fixed"/>
        <w:tblCellMar>
          <w:top w:w="0" w:type="dxa"/>
          <w:left w:w="0" w:type="dxa"/>
          <w:bottom w:w="0" w:type="dxa"/>
          <w:right w:w="0" w:type="dxa"/>
        </w:tblCellMar>
      </w:tblPr>
      <w:tblGrid>
        <w:gridCol w:w="1753"/>
        <w:gridCol w:w="60"/>
        <w:gridCol w:w="60"/>
        <w:gridCol w:w="980"/>
        <w:gridCol w:w="95"/>
        <w:gridCol w:w="60"/>
        <w:gridCol w:w="576"/>
        <w:gridCol w:w="1816"/>
        <w:gridCol w:w="60"/>
        <w:gridCol w:w="60"/>
        <w:gridCol w:w="455"/>
        <w:gridCol w:w="2436"/>
        <w:gridCol w:w="60"/>
        <w:gridCol w:w="60"/>
        <w:gridCol w:w="199"/>
        <w:gridCol w:w="1397"/>
        <w:gridCol w:w="78"/>
      </w:tblGrid>
      <w:tr>
        <w:trPr/>
        <w:tc>
          <w:tcPr>
            <w:tcW w:w="17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 Remaining Contractual 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78" w:type="dxa"/>
            <w:tcBorders/>
            <w:vAlign w:val="center"/>
          </w:tcPr>
          <w:p>
            <w:pPr>
              <w:pStyle w:val="TableContents"/>
              <w:bidi w:val="0"/>
              <w:spacing w:before="0" w:after="283"/>
              <w:jc w:val="left"/>
              <w:rPr/>
            </w:pPr>
            <w:r>
              <w:rPr/>
              <w:t> </w:t>
            </w:r>
          </w:p>
        </w:tc>
      </w:tr>
      <w:tr>
        <w:trPr/>
        <w:tc>
          <w:tcPr>
            <w:tcW w:w="1753" w:type="dxa"/>
            <w:tcBorders/>
            <w:shd w:fill="CCEEFF" w:val="clear"/>
            <w:vAlign w:val="center"/>
          </w:tcPr>
          <w:p>
            <w:pPr>
              <w:pStyle w:val="TableContents"/>
              <w:bidi w:val="0"/>
              <w:spacing w:before="0" w:after="283"/>
              <w:jc w:val="left"/>
              <w:rPr/>
            </w:pPr>
            <w:r>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31" w:name="xdx_982_eus-gaap--ShareBasedCompensation"/>
            <w:bookmarkEnd w:id="731"/>
          </w:p>
        </w:tc>
        <w:tc>
          <w:tcPr>
            <w:tcW w:w="980" w:type="dxa"/>
            <w:tcBorders/>
            <w:shd w:fill="CCEEFF" w:val="clear"/>
            <w:vAlign w:val="center"/>
          </w:tcPr>
          <w:p>
            <w:pPr>
              <w:pStyle w:val="TableContents"/>
              <w:bidi w:val="0"/>
              <w:spacing w:before="0" w:after="283"/>
              <w:jc w:val="right"/>
              <w:rPr/>
            </w:pPr>
            <w:r>
              <w:rPr/>
              <w:t>2,736,000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w:t>
            </w:r>
            <w:bookmarkStart w:id="732" w:name="xdx_983_ecustom--ShareBasedCompensationA"/>
            <w:bookmarkEnd w:id="732"/>
          </w:p>
        </w:tc>
        <w:tc>
          <w:tcPr>
            <w:tcW w:w="1816" w:type="dxa"/>
            <w:tcBorders/>
            <w:shd w:fill="CCEEFF" w:val="clear"/>
            <w:vAlign w:val="center"/>
          </w:tcPr>
          <w:p>
            <w:pPr>
              <w:pStyle w:val="TableContents"/>
              <w:bidi w:val="0"/>
              <w:spacing w:before="0" w:after="283"/>
              <w:jc w:val="right"/>
              <w:rPr/>
            </w:pPr>
            <w:r>
              <w:rPr/>
              <w:t>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bookmarkStart w:id="733" w:name="xdx_981_eus-gaap--SharebasedCompensation"/>
            <w:bookmarkEnd w:id="733"/>
          </w:p>
        </w:tc>
        <w:tc>
          <w:tcPr>
            <w:tcW w:w="2436"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734" w:name="xdx_98D_eus-gaap--ShareBasedCompensation"/>
            <w:bookmarkEnd w:id="734"/>
          </w:p>
        </w:tc>
        <w:tc>
          <w:tcPr>
            <w:tcW w:w="1397" w:type="dxa"/>
            <w:tcBorders/>
            <w:shd w:fill="CCEEFF" w:val="clear"/>
            <w:vAlign w:val="center"/>
          </w:tcPr>
          <w:p>
            <w:pPr>
              <w:pStyle w:val="TableContents"/>
              <w:bidi w:val="0"/>
              <w:spacing w:before="0" w:after="283"/>
              <w:jc w:val="right"/>
              <w:rPr/>
            </w:pPr>
            <w:r>
              <w:rPr/>
              <w:t>6,744,540</w:t>
            </w:r>
          </w:p>
        </w:tc>
        <w:tc>
          <w:tcPr>
            <w:tcW w:w="78" w:type="dxa"/>
            <w:tcBorders/>
            <w:shd w:fill="CCEEFF" w:val="clear"/>
            <w:vAlign w:val="center"/>
          </w:tcPr>
          <w:p>
            <w:pPr>
              <w:pStyle w:val="TableContents"/>
              <w:bidi w:val="0"/>
              <w:spacing w:before="0" w:after="283"/>
              <w:jc w:val="left"/>
              <w:rPr/>
            </w:pPr>
            <w:r>
              <w:rPr/>
              <w:t> </w:t>
            </w:r>
          </w:p>
        </w:tc>
      </w:tr>
      <w:tr>
        <w:trPr/>
        <w:tc>
          <w:tcPr>
            <w:tcW w:w="1753"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35" w:name="xdx_985_ecustom--ShareBasedCompensationA"/>
            <w:bookmarkEnd w:id="735"/>
          </w:p>
        </w:tc>
        <w:tc>
          <w:tcPr>
            <w:tcW w:w="980" w:type="dxa"/>
            <w:tcBorders/>
            <w:shd w:fill="FFFFFF" w:val="clear"/>
            <w:vAlign w:val="center"/>
          </w:tcPr>
          <w:p>
            <w:pPr>
              <w:pStyle w:val="TableContents"/>
              <w:bidi w:val="0"/>
              <w:spacing w:before="0" w:after="283"/>
              <w:jc w:val="right"/>
              <w:rPr/>
            </w:pPr>
            <w:r>
              <w:rPr/>
              <w:t>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w:t>
            </w:r>
            <w:bookmarkStart w:id="736" w:name="xdx_985_eus-gaap--ShareBasedCompensation"/>
            <w:bookmarkEnd w:id="736"/>
          </w:p>
        </w:tc>
        <w:tc>
          <w:tcPr>
            <w:tcW w:w="1816" w:type="dxa"/>
            <w:tcBorders/>
            <w:shd w:fill="FFFFFF" w:val="clear"/>
            <w:vAlign w:val="center"/>
          </w:tcPr>
          <w:p>
            <w:pPr>
              <w:pStyle w:val="TableContents"/>
              <w:bidi w:val="0"/>
              <w:spacing w:before="0" w:after="283"/>
              <w:jc w:val="right"/>
              <w:rPr/>
            </w:pPr>
            <w:r>
              <w:rPr/>
              <w:t>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bookmarkStart w:id="737" w:name="xdx_981_ecustom--SharebasedCompensationA"/>
            <w:bookmarkEnd w:id="737"/>
          </w:p>
        </w:tc>
        <w:tc>
          <w:tcPr>
            <w:tcW w:w="2436" w:type="dxa"/>
            <w:tcBorders/>
            <w:shd w:fill="FFFFFF" w:val="clear"/>
            <w:vAlign w:val="center"/>
          </w:tcPr>
          <w:p>
            <w:pPr>
              <w:pStyle w:val="TableContents"/>
              <w:bidi w:val="0"/>
              <w:spacing w:before="0" w:after="283"/>
              <w:jc w:val="right"/>
              <w:rPr/>
            </w:pPr>
            <w:r>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753" w:type="dxa"/>
            <w:tcBorders/>
            <w:shd w:fill="CCEEFF" w:val="clear"/>
            <w:vAlign w:val="center"/>
          </w:tcPr>
          <w:p>
            <w:pPr>
              <w:pStyle w:val="TableContents"/>
              <w:bidi w:val="0"/>
              <w:spacing w:before="0" w:after="283"/>
              <w:jc w:val="left"/>
              <w:rPr/>
            </w:pPr>
            <w:r>
              <w:rPr/>
              <w:t>Forfeited/expired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38" w:name="xdx_983_eus-gaap--ShareBasedCompensation"/>
            <w:bookmarkEnd w:id="738"/>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739" w:name="xdx_98E_eus-gaap--ShareBasedCompensation"/>
            <w:bookmarkEnd w:id="739"/>
          </w:p>
        </w:tc>
        <w:tc>
          <w:tcPr>
            <w:tcW w:w="1816" w:type="dxa"/>
            <w:tcBorders>
              <w:bottom w:val="single" w:sz="8" w:space="0" w:color="000000"/>
            </w:tcBorders>
            <w:shd w:fill="CCEEFF" w:val="clear"/>
            <w:tcMar>
              <w:bottom w:w="28" w:type="dxa"/>
            </w:tcMar>
            <w:vAlign w:val="center"/>
          </w:tcPr>
          <w:p>
            <w:pPr>
              <w:pStyle w:val="TableContents"/>
              <w:bidi w:val="0"/>
              <w:spacing w:before="0" w:after="283"/>
              <w:jc w:val="right"/>
              <w:rPr/>
            </w:pPr>
            <w:r>
              <w:rPr/>
              <w:t>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3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1753" w:type="dxa"/>
            <w:tcBorders/>
            <w:shd w:fill="FFFFFF" w:val="clear"/>
            <w:vAlign w:val="center"/>
          </w:tcPr>
          <w:p>
            <w:pPr>
              <w:pStyle w:val="TableContents"/>
              <w:bidi w:val="0"/>
              <w:spacing w:before="0" w:after="283"/>
              <w:jc w:val="left"/>
              <w:rPr/>
            </w:pPr>
            <w:r>
              <w:rPr/>
              <w:t>Outstanding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40" w:name="xdx_98F_eus-gaap--ShareBasedCompensation"/>
            <w:bookmarkEnd w:id="740"/>
          </w:p>
        </w:tc>
        <w:tc>
          <w:tcPr>
            <w:tcW w:w="980" w:type="dxa"/>
            <w:tcBorders/>
            <w:shd w:fill="FFFFFF" w:val="clear"/>
            <w:vAlign w:val="center"/>
          </w:tcPr>
          <w:p>
            <w:pPr>
              <w:pStyle w:val="TableContents"/>
              <w:bidi w:val="0"/>
              <w:spacing w:before="0" w:after="283"/>
              <w:jc w:val="right"/>
              <w:rPr/>
            </w:pPr>
            <w:r>
              <w:rPr/>
              <w:t>2,921,000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w:t>
            </w:r>
            <w:bookmarkStart w:id="741" w:name="xdx_98B_ecustom--ShareBasedCompensationA"/>
            <w:bookmarkEnd w:id="741"/>
          </w:p>
        </w:tc>
        <w:tc>
          <w:tcPr>
            <w:tcW w:w="1816" w:type="dxa"/>
            <w:tcBorders/>
            <w:shd w:fill="FFFFFF" w:val="clear"/>
            <w:vAlign w:val="center"/>
          </w:tcPr>
          <w:p>
            <w:pPr>
              <w:pStyle w:val="TableContents"/>
              <w:bidi w:val="0"/>
              <w:spacing w:before="0" w:after="283"/>
              <w:jc w:val="right"/>
              <w:rPr/>
            </w:pPr>
            <w:r>
              <w:rPr/>
              <w:t>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bookmarkStart w:id="742" w:name="xdx_983_eus-gaap--SharebasedCompensation"/>
            <w:bookmarkEnd w:id="742"/>
          </w:p>
        </w:tc>
        <w:tc>
          <w:tcPr>
            <w:tcW w:w="2436" w:type="dxa"/>
            <w:tcBorders/>
            <w:shd w:fill="FFFFFF" w:val="clear"/>
            <w:vAlign w:val="center"/>
          </w:tcPr>
          <w:p>
            <w:pPr>
              <w:pStyle w:val="TableContents"/>
              <w:bidi w:val="0"/>
              <w:spacing w:before="0" w:after="283"/>
              <w:jc w:val="right"/>
              <w:rPr/>
            </w:pPr>
            <w:r>
              <w:rPr/>
              <w:t>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bookmarkStart w:id="743" w:name="xdx_984_eus-gaap--ShareBasedCompensation"/>
            <w:bookmarkEnd w:id="743"/>
          </w:p>
        </w:tc>
        <w:tc>
          <w:tcPr>
            <w:tcW w:w="1397" w:type="dxa"/>
            <w:tcBorders/>
            <w:shd w:fill="FFFFFF" w:val="clear"/>
            <w:vAlign w:val="center"/>
          </w:tcPr>
          <w:p>
            <w:pPr>
              <w:pStyle w:val="TableContents"/>
              <w:bidi w:val="0"/>
              <w:spacing w:before="0" w:after="283"/>
              <w:jc w:val="right"/>
              <w:rPr/>
            </w:pPr>
            <w:r>
              <w:rPr/>
              <w:t>1,709,540</w:t>
            </w:r>
          </w:p>
        </w:tc>
        <w:tc>
          <w:tcPr>
            <w:tcW w:w="78" w:type="dxa"/>
            <w:tcBorders/>
            <w:shd w:fill="FFFFFF" w:val="clear"/>
            <w:vAlign w:val="center"/>
          </w:tcPr>
          <w:p>
            <w:pPr>
              <w:pStyle w:val="TableContents"/>
              <w:bidi w:val="0"/>
              <w:spacing w:before="0" w:after="283"/>
              <w:jc w:val="left"/>
              <w:rPr/>
            </w:pPr>
            <w:r>
              <w:rPr/>
              <w:t> </w:t>
            </w:r>
          </w:p>
        </w:tc>
      </w:tr>
      <w:tr>
        <w:trPr/>
        <w:tc>
          <w:tcPr>
            <w:tcW w:w="1753" w:type="dxa"/>
            <w:tcBorders/>
            <w:shd w:fill="CCEEFF" w:val="clear"/>
            <w:vAlign w:val="center"/>
          </w:tcPr>
          <w:p>
            <w:pPr>
              <w:pStyle w:val="TableContents"/>
              <w:bidi w:val="0"/>
              <w:spacing w:before="0" w:after="283"/>
              <w:jc w:val="left"/>
              <w:rPr/>
            </w:pPr>
            <w:r>
              <w:rPr/>
              <w:t>Exercisable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44" w:name="xdx_98C_eus-gaap--ShareBasedCompensation"/>
            <w:bookmarkEnd w:id="744"/>
          </w:p>
        </w:tc>
        <w:tc>
          <w:tcPr>
            <w:tcW w:w="980" w:type="dxa"/>
            <w:tcBorders/>
            <w:shd w:fill="CCEEFF" w:val="clear"/>
            <w:vAlign w:val="center"/>
          </w:tcPr>
          <w:p>
            <w:pPr>
              <w:pStyle w:val="TableContents"/>
              <w:bidi w:val="0"/>
              <w:spacing w:before="0" w:after="283"/>
              <w:jc w:val="right"/>
              <w:rPr/>
            </w:pPr>
            <w:r>
              <w:rPr/>
              <w:t>2,921,000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w:t>
            </w:r>
            <w:bookmarkStart w:id="745" w:name="xdx_98E_eus-gaap--ShareBasedCompensation"/>
            <w:bookmarkEnd w:id="745"/>
          </w:p>
        </w:tc>
        <w:tc>
          <w:tcPr>
            <w:tcW w:w="1816" w:type="dxa"/>
            <w:tcBorders/>
            <w:shd w:fill="CCEEFF" w:val="clear"/>
            <w:vAlign w:val="center"/>
          </w:tcPr>
          <w:p>
            <w:pPr>
              <w:pStyle w:val="TableContents"/>
              <w:bidi w:val="0"/>
              <w:spacing w:before="0" w:after="283"/>
              <w:jc w:val="right"/>
              <w:rPr/>
            </w:pPr>
            <w:r>
              <w:rPr/>
              <w:t>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bookmarkStart w:id="746" w:name="xdx_98F_ecustom--SharebasedCompensationA"/>
            <w:bookmarkEnd w:id="746"/>
          </w:p>
        </w:tc>
        <w:tc>
          <w:tcPr>
            <w:tcW w:w="2436" w:type="dxa"/>
            <w:tcBorders/>
            <w:shd w:fill="CCEEFF" w:val="clear"/>
            <w:vAlign w:val="center"/>
          </w:tcPr>
          <w:p>
            <w:pPr>
              <w:pStyle w:val="TableContents"/>
              <w:bidi w:val="0"/>
              <w:spacing w:before="0" w:after="283"/>
              <w:jc w:val="right"/>
              <w:rPr/>
            </w:pPr>
            <w:r>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747" w:name="xdx_98B_eus-gaap--SharebasedCompensation"/>
            <w:bookmarkEnd w:id="747"/>
          </w:p>
        </w:tc>
        <w:tc>
          <w:tcPr>
            <w:tcW w:w="1397" w:type="dxa"/>
            <w:tcBorders/>
            <w:shd w:fill="CCEEFF" w:val="clear"/>
            <w:vAlign w:val="center"/>
          </w:tcPr>
          <w:p>
            <w:pPr>
              <w:pStyle w:val="TableContents"/>
              <w:bidi w:val="0"/>
              <w:spacing w:before="0" w:after="283"/>
              <w:jc w:val="right"/>
              <w:rPr/>
            </w:pPr>
            <w:r>
              <w:rPr/>
              <w:t>1,709,540</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48" w:name="xdx_8A1_zcvCcsyxFhp9"/>
      <w:bookmarkEnd w:id="74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preceding table represents the total pretax intrinsic value, based on options with an exercise price less than the stock price of the Company of $</w:t>
      </w:r>
      <w:bookmarkStart w:id="749" w:name="xdx_905_eus-gaap--ShareBasedCompensation"/>
      <w:bookmarkEnd w:id="749"/>
      <w:r>
        <w:rPr>
          <w:rFonts w:ascii="Times New Roman;Times;Serif" w:hAnsi="Times New Roman;Times;Serif"/>
          <w:b w:val="false"/>
          <w:i w:val="false"/>
          <w:caps w:val="false"/>
          <w:smallCaps w:val="false"/>
          <w:sz w:val="20"/>
        </w:rPr>
        <w:t>1.13 as of March 31, 2026, which would have been received by the option holders had those option holders exercised their options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granted an aggregate of </w:t>
      </w:r>
      <w:bookmarkStart w:id="750" w:name="xdx_90A_ecustom--ShareBasedCompensationA"/>
      <w:bookmarkEnd w:id="750"/>
      <w:r>
        <w:rPr>
          <w:rFonts w:ascii="Times New Roman;Times;Serif" w:hAnsi="Times New Roman;Times;Serif"/>
          <w:b w:val="false"/>
          <w:i w:val="false"/>
          <w:caps w:val="false"/>
          <w:smallCaps w:val="false"/>
          <w:sz w:val="20"/>
        </w:rPr>
        <w:t>250,000 options to purchase the Company’s common stock at a weighted average exercise price of $</w:t>
      </w:r>
      <w:bookmarkStart w:id="751" w:name="xdx_902_eus-gaap--ShareBasedCompensation"/>
      <w:bookmarkEnd w:id="751"/>
      <w:r>
        <w:rPr>
          <w:rFonts w:ascii="Times New Roman;Times;Serif" w:hAnsi="Times New Roman;Times;Serif"/>
          <w:b w:val="false"/>
          <w:i w:val="false"/>
          <w:caps w:val="false"/>
          <w:smallCaps w:val="false"/>
          <w:sz w:val="20"/>
        </w:rPr>
        <w:t xml:space="preserve">3.21 per share for a term of </w:t>
      </w:r>
      <w:bookmarkStart w:id="752" w:name="xdx_901_ecustom--SharebasedCompensationA"/>
      <w:bookmarkEnd w:id="752"/>
      <w:r>
        <w:rPr>
          <w:rFonts w:ascii="Times New Roman;Times;Serif" w:hAnsi="Times New Roman;Times;Serif"/>
          <w:b w:val="false"/>
          <w:i w:val="false"/>
          <w:caps w:val="false"/>
          <w:smallCaps w:val="false"/>
          <w:sz w:val="20"/>
        </w:rPr>
        <w:t>ten years. The options vested immediately upon grant and the full grant-date fair value of approximately $</w:t>
      </w:r>
      <w:bookmarkStart w:id="753" w:name="xdx_900_eus-gaap--AllocatedShareBasedCom"/>
      <w:bookmarkEnd w:id="753"/>
      <w:r>
        <w:rPr>
          <w:rFonts w:ascii="Times New Roman;Times;Serif" w:hAnsi="Times New Roman;Times;Serif"/>
          <w:b w:val="false"/>
          <w:i w:val="false"/>
          <w:caps w:val="false"/>
          <w:smallCaps w:val="false"/>
          <w:sz w:val="20"/>
        </w:rPr>
        <w:t>770 was recognized as stock-based compensation expense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 related to stock options recognized during the three months ended March 31, 2026 and 2025, was $</w:t>
      </w:r>
      <w:bookmarkStart w:id="754" w:name="xdx_903_eus-gaap--AllocatedShareBasedCom"/>
      <w:bookmarkEnd w:id="754"/>
      <w:r>
        <w:rPr>
          <w:rFonts w:ascii="Times New Roman;Times;Serif" w:hAnsi="Times New Roman;Times;Serif"/>
          <w:b w:val="false"/>
          <w:i w:val="false"/>
          <w:caps w:val="false"/>
          <w:smallCaps w:val="false"/>
          <w:sz w:val="20"/>
        </w:rPr>
        <w:t>770 and $</w:t>
      </w:r>
      <w:bookmarkStart w:id="755" w:name="xdx_90D_eus-gaap--ShareBasedCompensation"/>
      <w:bookmarkEnd w:id="755"/>
      <w:r>
        <w:rPr>
          <w:rFonts w:ascii="Times New Roman;Times;Serif" w:hAnsi="Times New Roman;Times;Serif"/>
          <w:b w:val="false"/>
          <w:i w:val="false"/>
          <w:caps w:val="false"/>
          <w:smallCaps w:val="false"/>
          <w:sz w:val="20"/>
        </w:rPr>
        <w:t xml:space="preserve">40, respectively, which is presented within general and administrative expenses in the unaudited Condensed Consolidated Statements of Operations. As of March 31, 2026, there was </w:t>
      </w:r>
      <w:bookmarkStart w:id="756" w:name="xdx_90A_eus-gaap--EmployeeServiceShareBa"/>
      <w:bookmarkEnd w:id="756"/>
      <w:r>
        <w:rPr>
          <w:rFonts w:ascii="Times New Roman;Times;Serif" w:hAnsi="Times New Roman;Times;Serif"/>
          <w:b w:val="false"/>
          <w:i w:val="false"/>
          <w:caps w:val="false"/>
          <w:smallCaps w:val="false"/>
          <w:sz w:val="20"/>
        </w:rPr>
        <w:t>no unrecognized compensation expense related to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2025, in connection with the Company’s acquisition of Streamex Exchange, the Company entered into an amendment to the Executive Employment Agreement with the Company’s former Chief Executive Officer and Chairman of the Board. Pursuant to the amendment, all previously granted equity awards to the former Chief Executive Officer and Chairman of the Board including vested and unvested stock options were accelerated and deemed fully vested and nonforfeitable as of May 28, 2025. In addition, the post-resignation exercise period for all vested options was extended to the later of the original expiration date or 36 months following the transaction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57" w:name="xdx_896_eus-gaap--ScheduleOfShareBasedPa"/>
      <w:bookmarkEnd w:id="757"/>
      <w:r>
        <w:rPr>
          <w:rFonts w:ascii="Times New Roman;Times;Serif" w:hAnsi="Times New Roman;Times;Serif"/>
          <w:b w:val="false"/>
          <w:i w:val="false"/>
          <w:caps w:val="false"/>
          <w:smallCaps w:val="false"/>
          <w:sz w:val="20"/>
        </w:rPr>
        <w:t>During the three months ended March 31, 2026, the Company granted options to purchase shares of its common stock, which were valued using the Black-Scholes option pricing model. The following assumptions were used to calculate the fair value of the options granted during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758" w:name="xdx_8BD_z2vqFh1vtHRl"/>
      <w:bookmarkEnd w:id="758"/>
      <w:r>
        <w:rPr>
          <w:rFonts w:ascii="Times New Roman;Times;Serif" w:hAnsi="Times New Roman;Times;Serif"/>
          <w:b w:val="false"/>
          <w:i w:val="false"/>
          <w:caps w:val="false"/>
          <w:smallCaps w:val="false"/>
          <w:sz w:val="20"/>
        </w:rPr>
        <w:t>SCHEDULE OF OPTIONS GRANTED ASSUMPTIONS USING BLACK-SCHOLES OPTION</w:t>
      </w:r>
    </w:p>
    <w:tbl>
      <w:tblPr>
        <w:tblW w:w="4790" w:type="dxa"/>
        <w:jc w:val="left"/>
        <w:tblInd w:w="0" w:type="dxa"/>
        <w:tblLayout w:type="fixed"/>
        <w:tblCellMar>
          <w:top w:w="0" w:type="dxa"/>
          <w:left w:w="0" w:type="dxa"/>
          <w:bottom w:w="28" w:type="dxa"/>
          <w:right w:w="0" w:type="dxa"/>
        </w:tblCellMar>
      </w:tblPr>
      <w:tblGrid>
        <w:gridCol w:w="3680"/>
        <w:gridCol w:w="60"/>
        <w:gridCol w:w="140"/>
        <w:gridCol w:w="680"/>
        <w:gridCol w:w="230"/>
      </w:tblGrid>
      <w:tr>
        <w:trPr/>
        <w:tc>
          <w:tcPr>
            <w:tcW w:w="3680" w:type="dxa"/>
            <w:tcBorders>
              <w:bottom w:val="single" w:sz="8" w:space="0" w:color="000000"/>
            </w:tcBorders>
            <w:vAlign w:val="center"/>
          </w:tcPr>
          <w:p>
            <w:pPr>
              <w:pStyle w:val="TableContents"/>
              <w:bidi w:val="0"/>
              <w:spacing w:before="0" w:after="283"/>
              <w:jc w:val="center"/>
              <w:rPr>
                <w:b/>
              </w:rPr>
            </w:pPr>
            <w:r>
              <w:rPr>
                <w:b/>
              </w:rPr>
              <w:t>Assumption</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b/>
              </w:rPr>
            </w:pPr>
            <w:r>
              <w:rPr>
                <w:b/>
              </w:rPr>
              <w:t>Value</w:t>
            </w:r>
          </w:p>
        </w:tc>
        <w:tc>
          <w:tcPr>
            <w:tcW w:w="230" w:type="dxa"/>
            <w:tcBorders/>
            <w:tcMar>
              <w:bottom w:w="0" w:type="dxa"/>
            </w:tcMar>
            <w:vAlign w:val="center"/>
          </w:tcPr>
          <w:p>
            <w:pPr>
              <w:pStyle w:val="TableContents"/>
              <w:bidi w:val="0"/>
              <w:spacing w:before="0" w:after="283"/>
              <w:jc w:val="left"/>
              <w:rPr/>
            </w:pPr>
            <w:r>
              <w:rPr/>
              <w:t> </w:t>
            </w:r>
          </w:p>
        </w:tc>
      </w:tr>
      <w:tr>
        <w:trPr/>
        <w:tc>
          <w:tcPr>
            <w:tcW w:w="3680" w:type="dxa"/>
            <w:tcBorders/>
            <w:shd w:fill="CCEEFF" w:val="clear"/>
            <w:tcMar>
              <w:bottom w:w="0" w:type="dxa"/>
            </w:tcMar>
            <w:vAlign w:val="center"/>
          </w:tcPr>
          <w:p>
            <w:pPr>
              <w:pStyle w:val="TableContents"/>
              <w:bidi w:val="0"/>
              <w:spacing w:before="0" w:after="283"/>
              <w:jc w:val="left"/>
              <w:rPr/>
            </w:pPr>
            <w:r>
              <w:rPr/>
              <w:t>Weighted average grant date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bookmarkStart w:id="759" w:name="xdx_909_eus-gaap--DerivativeLiabilityMea"/>
            <w:bookmarkEnd w:id="759"/>
            <w:r>
              <w:rPr/>
              <w:t>3.08</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680" w:type="dxa"/>
            <w:tcBorders/>
            <w:shd w:fill="FFFFFF" w:val="clear"/>
            <w:tcMar>
              <w:bottom w:w="0" w:type="dxa"/>
            </w:tcMar>
            <w:vAlign w:val="center"/>
          </w:tcPr>
          <w:p>
            <w:pPr>
              <w:pStyle w:val="TableContents"/>
              <w:bidi w:val="0"/>
              <w:spacing w:before="0" w:after="283"/>
              <w:jc w:val="both"/>
              <w:rPr/>
            </w:pPr>
            <w:r>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bookmarkStart w:id="760" w:name="xdx_90A_eus-gaap--DerivativeLiabilityMea"/>
            <w:bookmarkEnd w:id="760"/>
            <w:r>
              <w:rPr/>
              <w:t>124.17</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283"/>
              <w:jc w:val="both"/>
              <w:rPr/>
            </w:pPr>
            <w:r>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bookmarkStart w:id="761" w:name="xdx_906_eus-gaap--DerivativeLiabilityMea"/>
            <w:bookmarkEnd w:id="761"/>
            <w:r>
              <w:rPr/>
              <w:t>4.15</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680" w:type="dxa"/>
            <w:tcBorders/>
            <w:shd w:fill="FFFFFF" w:val="clear"/>
            <w:tcMar>
              <w:bottom w:w="0" w:type="dxa"/>
            </w:tcMar>
            <w:vAlign w:val="center"/>
          </w:tcPr>
          <w:p>
            <w:pPr>
              <w:pStyle w:val="TableContents"/>
              <w:bidi w:val="0"/>
              <w:spacing w:before="0" w:after="283"/>
              <w:jc w:val="both"/>
              <w:rPr/>
            </w:pPr>
            <w:r>
              <w:rPr/>
              <w:t>Expected dividend 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bookmarkStart w:id="762" w:name="xdx_908_eus-gaap--DerivativeLiabilityMea"/>
            <w:bookmarkEnd w:id="762"/>
            <w:r>
              <w:rPr/>
              <w:t>0.00</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3680" w:type="dxa"/>
            <w:tcBorders/>
            <w:shd w:fill="CCEEFF" w:val="clear"/>
            <w:tcMar>
              <w:bottom w:w="0" w:type="dxa"/>
            </w:tcMar>
            <w:vAlign w:val="center"/>
          </w:tcPr>
          <w:p>
            <w:pPr>
              <w:pStyle w:val="TableContents"/>
              <w:bidi w:val="0"/>
              <w:spacing w:before="0" w:after="283"/>
              <w:jc w:val="both"/>
              <w:rPr/>
            </w:pPr>
            <w:r>
              <w:rPr/>
              <w:t>Expected Term (in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bookmarkStart w:id="763" w:name="xdx_90D_eus-gaap--DerivativeTermOfContra"/>
            <w:bookmarkEnd w:id="763"/>
            <w:r>
              <w:rPr/>
              <w:t>5.0</w:t>
            </w:r>
          </w:p>
        </w:tc>
        <w:tc>
          <w:tcPr>
            <w:tcW w:w="23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64" w:name="xdx_8A8_znj7fNtsB5lh"/>
      <w:bookmarkEnd w:id="76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65" w:name="xdx_892_ecustom--ScheduleOfWarrantsOrRig"/>
      <w:bookmarkEnd w:id="765"/>
      <w:r>
        <w:rPr>
          <w:rFonts w:ascii="Times New Roman;Times;Serif" w:hAnsi="Times New Roman;Times;Serif"/>
          <w:b w:val="false"/>
          <w:i w:val="false"/>
          <w:caps w:val="false"/>
          <w:smallCaps w:val="false"/>
          <w:sz w:val="20"/>
        </w:rPr>
        <w:t>The following table summarizes information with respect to outstanding warrants to purchase common stock of Streamex Corp. as of March 31, 2026:</w:t>
      </w:r>
    </w:p>
    <w:p>
      <w:pPr>
        <w:pStyle w:val="TextBody"/>
        <w:bidi w:val="0"/>
        <w:spacing w:before="0" w:after="0"/>
        <w:ind w:left="0" w:right="0" w:hanging="0"/>
        <w:jc w:val="both"/>
        <w:rPr>
          <w:caps w:val="false"/>
          <w:smallCaps w:val="false"/>
        </w:rPr>
      </w:pPr>
      <w:r>
        <w:rPr>
          <w:caps w:val="false"/>
          <w:smallCaps w:val="false"/>
        </w:rPr>
        <w:t> </w:t>
      </w:r>
      <w:bookmarkStart w:id="766" w:name="xdx_8BA_zPaBiE5ZjMwg"/>
      <w:bookmarkEnd w:id="766"/>
      <w:r>
        <w:rPr>
          <w:rFonts w:ascii="Times New Roman;Times;Serif" w:hAnsi="Times New Roman;Times;Serif"/>
          <w:b w:val="false"/>
          <w:i w:val="false"/>
          <w:caps w:val="false"/>
          <w:smallCaps w:val="false"/>
          <w:sz w:val="20"/>
        </w:rPr>
        <w:t>SCHEDULE OF INFORMATION RELATED TO WARRANTS</w:t>
      </w:r>
    </w:p>
    <w:tbl>
      <w:tblPr>
        <w:tblW w:w="4693" w:type="dxa"/>
        <w:jc w:val="left"/>
        <w:tblInd w:w="0" w:type="dxa"/>
        <w:tblLayout w:type="fixed"/>
        <w:tblCellMar>
          <w:top w:w="0" w:type="dxa"/>
          <w:left w:w="0" w:type="dxa"/>
          <w:bottom w:w="28" w:type="dxa"/>
          <w:right w:w="0" w:type="dxa"/>
        </w:tblCellMar>
      </w:tblPr>
      <w:tblGrid>
        <w:gridCol w:w="212"/>
        <w:gridCol w:w="1052"/>
        <w:gridCol w:w="60"/>
        <w:gridCol w:w="60"/>
        <w:gridCol w:w="118"/>
        <w:gridCol w:w="1671"/>
        <w:gridCol w:w="60"/>
        <w:gridCol w:w="60"/>
        <w:gridCol w:w="1400"/>
      </w:tblGrid>
      <w:tr>
        <w:trPr/>
        <w:tc>
          <w:tcPr>
            <w:tcW w:w="12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Warrants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w:t>
            </w:r>
          </w:p>
        </w:tc>
      </w:tr>
      <w:tr>
        <w:trPr/>
        <w:tc>
          <w:tcPr>
            <w:tcW w:w="21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767" w:name="xdx_982_eus-gaap--ClassOfWarrantOrRightE"/>
            <w:bookmarkEnd w:id="767"/>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68" w:name="xdx_985_eus-gaap--ClassOfWarrantOrRightO"/>
            <w:bookmarkEnd w:id="768"/>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69" w:name="xdx_98A_ecustom--WarrantsExpirationDateD"/>
            <w:bookmarkEnd w:id="769"/>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Nov-28</w:t>
            </w:r>
          </w:p>
        </w:tc>
      </w:tr>
      <w:tr>
        <w:trPr/>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70" w:name="xdx_98C_eus-gaap--ClassOfWarrantOrRightE"/>
            <w:bookmarkEnd w:id="770"/>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71" w:name="xdx_983_eus-gaap--ClassOfWarrantOrRightO"/>
            <w:bookmarkEnd w:id="771"/>
          </w:p>
        </w:tc>
        <w:tc>
          <w:tcPr>
            <w:tcW w:w="1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577,916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72" w:name="xdx_98E_ecustom--WarrantsExpirationDateD"/>
            <w:bookmarkEnd w:id="772"/>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Sep-28</w:t>
            </w:r>
          </w:p>
        </w:tc>
      </w:tr>
      <w:tr>
        <w:trPr/>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73" w:name="xdx_985_eus-gaap--ClassOfWarrantOrRightE"/>
            <w:bookmarkEnd w:id="773"/>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74" w:name="xdx_987_eus-gaap--ClassOfWarrantOrRightO"/>
            <w:bookmarkEnd w:id="774"/>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75" w:name="xdx_988_ecustom--WarrantsExpirationDateD"/>
            <w:bookmarkEnd w:id="775"/>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Jul-29</w:t>
            </w:r>
          </w:p>
        </w:tc>
      </w:tr>
      <w:tr>
        <w:trPr/>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76" w:name="xdx_98D_eus-gaap--ClassOfWarrantOrRightE"/>
            <w:bookmarkEnd w:id="776"/>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77" w:name="xdx_98A_eus-gaap--ClassOfWarrantOrRightO"/>
            <w:bookmarkEnd w:id="777"/>
          </w:p>
        </w:tc>
        <w:tc>
          <w:tcPr>
            <w:tcW w:w="1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78" w:name="xdx_984_ecustom--WarrantsExpirationDateD"/>
            <w:bookmarkEnd w:id="778"/>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Nov-32</w:t>
            </w:r>
          </w:p>
        </w:tc>
      </w:tr>
      <w:tr>
        <w:trPr/>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79" w:name="xdx_98D_eus-gaap--ClassOfWarrantOrRightE"/>
            <w:bookmarkEnd w:id="779"/>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80" w:name="xdx_981_eus-gaap--ClassOfWarrantOrRightO"/>
            <w:bookmarkEnd w:id="780"/>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81" w:name="xdx_98A_ecustom--WarrantsExpirationDateD"/>
            <w:bookmarkEnd w:id="781"/>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Jun-28</w:t>
            </w:r>
          </w:p>
        </w:tc>
      </w:tr>
      <w:tr>
        <w:trPr/>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82" w:name="xdx_981_eus-gaap--ClassOfWarrantOrRightE"/>
            <w:bookmarkEnd w:id="782"/>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83" w:name="xdx_98B_eus-gaap--ClassOfWarrantOrRightO"/>
            <w:bookmarkEnd w:id="783"/>
          </w:p>
        </w:tc>
        <w:tc>
          <w:tcPr>
            <w:tcW w:w="1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84" w:name="xdx_987_ecustom--WarrantsExpirationDateD"/>
            <w:bookmarkEnd w:id="784"/>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Apr-29</w:t>
            </w:r>
          </w:p>
        </w:tc>
      </w:tr>
      <w:tr>
        <w:trPr/>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85" w:name="xdx_98C_eus-gaap--ClassOfWarrantOrRightE"/>
            <w:bookmarkEnd w:id="785"/>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86" w:name="xdx_988_eus-gaap--ClassOfWarrantOrRightO"/>
            <w:bookmarkEnd w:id="786"/>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87" w:name="xdx_981_ecustom--WarrantsExpirationDateD"/>
            <w:bookmarkEnd w:id="787"/>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Mar-29</w:t>
            </w:r>
          </w:p>
        </w:tc>
      </w:tr>
      <w:tr>
        <w:trPr/>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88" w:name="xdx_98E_eus-gaap--ClassOfWarrantOrRightE"/>
            <w:bookmarkEnd w:id="788"/>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89" w:name="xdx_987_eus-gaap--ClassOfWarrantOrRightO"/>
            <w:bookmarkEnd w:id="789"/>
          </w:p>
        </w:tc>
        <w:tc>
          <w:tcPr>
            <w:tcW w:w="1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71,593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90" w:name="xdx_98D_ecustom--WarrantsExpirationDateD"/>
            <w:bookmarkEnd w:id="790"/>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Mar-29</w:t>
            </w:r>
          </w:p>
        </w:tc>
      </w:tr>
      <w:tr>
        <w:trPr/>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91" w:name="xdx_988_eus-gaap--ClassOfWarrantOrRightE"/>
            <w:bookmarkEnd w:id="791"/>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92" w:name="xdx_98E_eus-gaap--ClassOfWarrantOrRightO"/>
            <w:bookmarkEnd w:id="792"/>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93" w:name="xdx_985_ecustom--WarrantsExpirationDateD"/>
            <w:bookmarkEnd w:id="793"/>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Jul-28</w:t>
            </w:r>
          </w:p>
        </w:tc>
      </w:tr>
      <w:tr>
        <w:trPr/>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94" w:name="xdx_986_eus-gaap--ClassOfWarrantOrRightE"/>
            <w:bookmarkEnd w:id="794"/>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5.1358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95" w:name="xdx_989_eus-gaap--ClassOfWarrantOrRightO"/>
            <w:bookmarkEnd w:id="795"/>
          </w:p>
        </w:tc>
        <w:tc>
          <w:tcPr>
            <w:tcW w:w="1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83,270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96" w:name="xdx_983_ecustom--WarrantsExpirationDateD"/>
            <w:bookmarkEnd w:id="796"/>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Jul-28</w:t>
            </w:r>
          </w:p>
        </w:tc>
      </w:tr>
      <w:tr>
        <w:trPr/>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97" w:name="xdx_988_eus-gaap--ClassOfWarrantOrRightE"/>
            <w:bookmarkEnd w:id="797"/>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98" w:name="xdx_98D_eus-gaap--ClassOfWarrantOrRightO"/>
            <w:bookmarkEnd w:id="798"/>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799" w:name="xdx_98F_ecustom--WarrantsExpirationDateD"/>
            <w:bookmarkEnd w:id="799"/>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Jul-28</w:t>
            </w:r>
          </w:p>
        </w:tc>
      </w:tr>
      <w:tr>
        <w:trPr/>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00" w:name="xdx_98F_eus-gaap--ClassOfWarrantOrRightE"/>
            <w:bookmarkEnd w:id="800"/>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01" w:name="xdx_98D_eus-gaap--ClassOfWarrantOrRightO"/>
            <w:bookmarkEnd w:id="801"/>
          </w:p>
        </w:tc>
        <w:tc>
          <w:tcPr>
            <w:tcW w:w="1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02" w:name="xdx_981_ecustom--WarrantsExpirationDateD"/>
            <w:bookmarkEnd w:id="802"/>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Aug-28</w:t>
            </w:r>
          </w:p>
        </w:tc>
      </w:tr>
      <w:tr>
        <w:trPr/>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03" w:name="xdx_98A_eus-gaap--ClassOfWarrantOrRightE"/>
            <w:bookmarkEnd w:id="803"/>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04" w:name="xdx_988_eus-gaap--ClassOfWarrantOrRightO"/>
            <w:bookmarkEnd w:id="804"/>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05" w:name="xdx_984_ecustom--WarrantsExpirationDateD"/>
            <w:bookmarkEnd w:id="805"/>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Jun-27</w:t>
            </w:r>
          </w:p>
        </w:tc>
      </w:tr>
      <w:tr>
        <w:trPr/>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06" w:name="xdx_981_eus-gaap--ClassOfWarrantOrRightE"/>
            <w:bookmarkEnd w:id="806"/>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07" w:name="xdx_980_eus-gaap--ClassOfWarrantOrRightO"/>
            <w:bookmarkEnd w:id="807"/>
          </w:p>
        </w:tc>
        <w:tc>
          <w:tcPr>
            <w:tcW w:w="1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08" w:name="xdx_98D_ecustom--WarrantsExpirationDateD"/>
            <w:bookmarkEnd w:id="808"/>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Jan-29</w:t>
            </w:r>
          </w:p>
        </w:tc>
      </w:tr>
      <w:tr>
        <w:trPr/>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09" w:name="xdx_98D_eus-gaap--ClassOfWarrantOrRightE"/>
            <w:bookmarkEnd w:id="809"/>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10" w:name="xdx_986_eus-gaap--ClassOfWarrantOrRightO"/>
            <w:bookmarkEnd w:id="810"/>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11" w:name="xdx_98F_ecustom--WarrantsExpirationDateD"/>
            <w:bookmarkEnd w:id="811"/>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Aug-28</w:t>
            </w:r>
          </w:p>
        </w:tc>
      </w:tr>
      <w:tr>
        <w:trPr/>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12" w:name="xdx_98E_eus-gaap--ClassOfWarrantOrRightE"/>
            <w:bookmarkEnd w:id="812"/>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13" w:name="xdx_98D_eus-gaap--ClassOfWarrantOrRightO"/>
            <w:bookmarkEnd w:id="813"/>
          </w:p>
        </w:tc>
        <w:tc>
          <w:tcPr>
            <w:tcW w:w="1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14" w:name="xdx_98A_ecustom--WarrantsExpirationDateD"/>
            <w:bookmarkEnd w:id="814"/>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Sep-28</w:t>
            </w:r>
          </w:p>
        </w:tc>
      </w:tr>
      <w:tr>
        <w:trPr/>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15" w:name="xdx_98E_eus-gaap--ClassOfWarrantOrRightE"/>
            <w:bookmarkEnd w:id="815"/>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16" w:name="xdx_985_eus-gaap--ClassOfWarrantOrRightO"/>
            <w:bookmarkEnd w:id="816"/>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84,296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17" w:name="xdx_98C_ecustom--WarrantsExpirationDateD"/>
            <w:bookmarkEnd w:id="817"/>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Sep-28</w:t>
            </w:r>
          </w:p>
        </w:tc>
      </w:tr>
      <w:tr>
        <w:trPr/>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18" w:name="xdx_984_eus-gaap--ClassOfWarrantOrRightE"/>
            <w:bookmarkEnd w:id="818"/>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10.4678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19" w:name="xdx_98C_eus-gaap--ClassOfWarrantOrRightO"/>
            <w:bookmarkEnd w:id="819"/>
          </w:p>
        </w:tc>
        <w:tc>
          <w:tcPr>
            <w:tcW w:w="1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40,417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20" w:name="xdx_98E_ecustom--WarrantsExpirationDateD"/>
            <w:bookmarkEnd w:id="820"/>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Oct-28</w:t>
            </w:r>
          </w:p>
        </w:tc>
      </w:tr>
      <w:tr>
        <w:trPr/>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21" w:name="xdx_987_eus-gaap--ClassOfWarrantOrRightE"/>
            <w:bookmarkEnd w:id="821"/>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22" w:name="xdx_984_eus-gaap--ClassOfWarrantOrRightO"/>
            <w:bookmarkEnd w:id="822"/>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96,198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23" w:name="xdx_983_ecustom--WarrantsExpirationDateD"/>
            <w:bookmarkEnd w:id="823"/>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Nov-28</w:t>
            </w:r>
          </w:p>
        </w:tc>
      </w:tr>
      <w:tr>
        <w:trPr/>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24" w:name="xdx_984_eus-gaap--ClassOfWarrantOrRightE"/>
            <w:bookmarkEnd w:id="824"/>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25" w:name="xdx_989_eus-gaap--ClassOfWarrantOrRightO"/>
            <w:bookmarkEnd w:id="825"/>
          </w:p>
        </w:tc>
        <w:tc>
          <w:tcPr>
            <w:tcW w:w="167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26" w:name="xdx_980_ecustom--WarrantsExpirationDateD"/>
            <w:bookmarkEnd w:id="826"/>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Jul-26</w:t>
            </w:r>
          </w:p>
        </w:tc>
      </w:tr>
      <w:tr>
        <w:trPr/>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27" w:name="xdx_98B_eus-gaap--ClassOfWarrantOrRightE"/>
            <w:bookmarkEnd w:id="827"/>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28" w:name="xdx_981_eus-gaap--ClassOfWarrantOrRightO"/>
            <w:bookmarkEnd w:id="828"/>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29" w:name="xdx_98C_ecustom--WarrantsExpirationDateD"/>
            <w:bookmarkEnd w:id="829"/>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Nov-27</w:t>
            </w:r>
          </w:p>
        </w:tc>
      </w:tr>
      <w:tr>
        <w:trPr/>
        <w:tc>
          <w:tcPr>
            <w:tcW w:w="21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30" w:name="xdx_981_eus-gaap--ClassOfWarrantOrRightE"/>
            <w:bookmarkEnd w:id="830"/>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831" w:name="xdx_981_eus-gaap--ClassOfWarrantOrRightO"/>
            <w:bookmarkEnd w:id="831"/>
          </w:p>
        </w:tc>
        <w:tc>
          <w:tcPr>
            <w:tcW w:w="167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32" w:name="xdx_98B_ecustom--WarrantsExpirationDateD"/>
            <w:bookmarkEnd w:id="832"/>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Nov-28</w:t>
            </w:r>
          </w:p>
        </w:tc>
      </w:tr>
      <w:tr>
        <w:trPr/>
        <w:tc>
          <w:tcPr>
            <w:tcW w:w="21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833" w:name="xdx_98D_eus-gaap--ClassOfWarrantOrRightO"/>
            <w:bookmarkEnd w:id="833"/>
          </w:p>
        </w:tc>
        <w:tc>
          <w:tcPr>
            <w:tcW w:w="167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1,647,885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834" w:name="xdx_8A5_zJH9QJMb9iCa"/>
      <w:bookmarkEnd w:id="83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March 31, 2026, the Company issued </w:t>
      </w:r>
      <w:bookmarkStart w:id="835" w:name="xdx_907_ecustom--StockIssuedDuringPeriod"/>
      <w:bookmarkEnd w:id="835"/>
      <w:r>
        <w:rPr>
          <w:rFonts w:ascii="Times New Roman;Times;Serif" w:hAnsi="Times New Roman;Times;Serif"/>
          <w:b w:val="false"/>
          <w:i w:val="false"/>
          <w:caps w:val="false"/>
          <w:smallCaps w:val="false"/>
          <w:sz w:val="20"/>
        </w:rPr>
        <w:t xml:space="preserve">54,647 shares of its common stock upon cashless exercise of </w:t>
      </w:r>
      <w:bookmarkStart w:id="836" w:name="xdx_909_eus-gaap--ClassOfWarrantOrRightN"/>
      <w:bookmarkEnd w:id="836"/>
      <w:r>
        <w:rPr>
          <w:rFonts w:ascii="Times New Roman;Times;Serif" w:hAnsi="Times New Roman;Times;Serif"/>
          <w:b w:val="false"/>
          <w:i w:val="false"/>
          <w:caps w:val="false"/>
          <w:smallCaps w:val="false"/>
          <w:sz w:val="20"/>
        </w:rPr>
        <w:t>87,984 warrants to purchase shares of common stock, pursuant to the formula set forth in such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7" w:name="xdx_895_eus-gaap--ScheduleOfStockholders"/>
      <w:bookmarkEnd w:id="837"/>
      <w:r>
        <w:rPr>
          <w:rFonts w:ascii="Times New Roman;Times;Serif" w:hAnsi="Times New Roman;Times;Serif"/>
          <w:b w:val="false"/>
          <w:i w:val="false"/>
          <w:caps w:val="false"/>
          <w:smallCaps w:val="false"/>
          <w:sz w:val="20"/>
        </w:rPr>
        <w:t>A summary of the warrant activity for three months ended March 31, 2026 is as follows:</w:t>
      </w:r>
    </w:p>
    <w:p>
      <w:pPr>
        <w:pStyle w:val="TextBody"/>
        <w:bidi w:val="0"/>
        <w:spacing w:before="0" w:after="0"/>
        <w:ind w:left="0" w:right="0" w:hanging="0"/>
        <w:jc w:val="both"/>
        <w:rPr>
          <w:caps w:val="false"/>
          <w:smallCaps w:val="false"/>
        </w:rPr>
      </w:pPr>
      <w:r>
        <w:rPr>
          <w:caps w:val="false"/>
          <w:smallCaps w:val="false"/>
        </w:rPr>
        <w:t> </w:t>
      </w:r>
      <w:bookmarkStart w:id="838" w:name="xdx_8B9_zgOaUTwzvaOg"/>
      <w:bookmarkEnd w:id="838"/>
      <w:r>
        <w:rPr>
          <w:rFonts w:ascii="Times New Roman;Times;Serif" w:hAnsi="Times New Roman;Times;Serif"/>
          <w:b w:val="false"/>
          <w:i w:val="false"/>
          <w:caps w:val="false"/>
          <w:smallCaps w:val="false"/>
          <w:sz w:val="20"/>
        </w:rPr>
        <w:t>SCHEDULE OF WARRANT ACTIVITY</w:t>
      </w:r>
    </w:p>
    <w:tbl>
      <w:tblPr>
        <w:tblW w:w="10205" w:type="dxa"/>
        <w:jc w:val="left"/>
        <w:tblInd w:w="0" w:type="dxa"/>
        <w:tblLayout w:type="fixed"/>
        <w:tblCellMar>
          <w:top w:w="0" w:type="dxa"/>
          <w:left w:w="0" w:type="dxa"/>
          <w:bottom w:w="0" w:type="dxa"/>
          <w:right w:w="0" w:type="dxa"/>
        </w:tblCellMar>
      </w:tblPr>
      <w:tblGrid>
        <w:gridCol w:w="4150"/>
        <w:gridCol w:w="60"/>
        <w:gridCol w:w="60"/>
        <w:gridCol w:w="980"/>
        <w:gridCol w:w="95"/>
        <w:gridCol w:w="60"/>
        <w:gridCol w:w="388"/>
        <w:gridCol w:w="1222"/>
        <w:gridCol w:w="60"/>
        <w:gridCol w:w="60"/>
        <w:gridCol w:w="254"/>
        <w:gridCol w:w="1356"/>
        <w:gridCol w:w="60"/>
        <w:gridCol w:w="60"/>
        <w:gridCol w:w="158"/>
        <w:gridCol w:w="1106"/>
        <w:gridCol w:w="76"/>
      </w:tblGrid>
      <w:tr>
        <w:trPr/>
        <w:tc>
          <w:tcPr>
            <w:tcW w:w="4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 Value</w:t>
            </w:r>
          </w:p>
        </w:tc>
        <w:tc>
          <w:tcPr>
            <w:tcW w:w="76" w:type="dxa"/>
            <w:tcBorders/>
            <w:vAlign w:val="center"/>
          </w:tcPr>
          <w:p>
            <w:pPr>
              <w:pStyle w:val="TableContents"/>
              <w:bidi w:val="0"/>
              <w:spacing w:before="0" w:after="283"/>
              <w:jc w:val="left"/>
              <w:rPr/>
            </w:pPr>
            <w:r>
              <w:rPr/>
              <w:t> </w:t>
            </w:r>
          </w:p>
        </w:tc>
      </w:tr>
      <w:tr>
        <w:trPr/>
        <w:tc>
          <w:tcPr>
            <w:tcW w:w="4150" w:type="dxa"/>
            <w:tcBorders/>
            <w:shd w:fill="CCEEFF" w:val="clear"/>
            <w:vAlign w:val="center"/>
          </w:tcPr>
          <w:p>
            <w:pPr>
              <w:pStyle w:val="TableContents"/>
              <w:bidi w:val="0"/>
              <w:spacing w:before="0" w:after="283"/>
              <w:jc w:val="left"/>
              <w:rPr/>
            </w:pPr>
            <w:r>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9" w:name="xdx_98E_eus-gaap--ClassOfWarrantOrRightO"/>
            <w:bookmarkEnd w:id="839"/>
          </w:p>
        </w:tc>
        <w:tc>
          <w:tcPr>
            <w:tcW w:w="980" w:type="dxa"/>
            <w:tcBorders/>
            <w:shd w:fill="CCEEFF" w:val="clear"/>
            <w:vAlign w:val="center"/>
          </w:tcPr>
          <w:p>
            <w:pPr>
              <w:pStyle w:val="TableContents"/>
              <w:bidi w:val="0"/>
              <w:spacing w:before="0" w:after="283"/>
              <w:jc w:val="right"/>
              <w:rPr/>
            </w:pPr>
            <w:r>
              <w:rPr/>
              <w:t>1,735,869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bookmarkStart w:id="840" w:name="xdx_904_ecustom--ClassOfWarrantOrRightsW"/>
            <w:bookmarkEnd w:id="840"/>
            <w:r>
              <w:rPr/>
              <w:t>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bookmarkStart w:id="841" w:name="xdx_90B_ecustom--WarrantsOutstandingWeig"/>
            <w:bookmarkEnd w:id="841"/>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bookmarkStart w:id="842" w:name="xdx_987_eus-gaap--ShareBasedCompensation"/>
            <w:bookmarkEnd w:id="842"/>
          </w:p>
        </w:tc>
        <w:tc>
          <w:tcPr>
            <w:tcW w:w="1106" w:type="dxa"/>
            <w:tcBorders/>
            <w:shd w:fill="CCEEFF" w:val="clear"/>
            <w:vAlign w:val="center"/>
          </w:tcPr>
          <w:p>
            <w:pPr>
              <w:pStyle w:val="TableContents"/>
              <w:bidi w:val="0"/>
              <w:spacing w:before="0" w:after="283"/>
              <w:jc w:val="right"/>
              <w:rPr/>
            </w:pPr>
            <w:r>
              <w:rPr/>
              <w:t>1,414,626</w:t>
            </w:r>
          </w:p>
        </w:tc>
        <w:tc>
          <w:tcPr>
            <w:tcW w:w="76" w:type="dxa"/>
            <w:tcBorders/>
            <w:shd w:fill="CCEEFF" w:val="clear"/>
            <w:vAlign w:val="center"/>
          </w:tcPr>
          <w:p>
            <w:pPr>
              <w:pStyle w:val="TableContents"/>
              <w:bidi w:val="0"/>
              <w:spacing w:before="0" w:after="283"/>
              <w:jc w:val="left"/>
              <w:rPr/>
            </w:pPr>
            <w:r>
              <w:rPr/>
              <w:t> </w:t>
            </w:r>
          </w:p>
        </w:tc>
      </w:tr>
      <w:tr>
        <w:trPr/>
        <w:tc>
          <w:tcPr>
            <w:tcW w:w="4150"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43" w:name="xdx_986_ecustom--ClassOfWarrantsOrRightI"/>
            <w:bookmarkEnd w:id="843"/>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150" w:type="dxa"/>
            <w:tcBorders/>
            <w:shd w:fill="CCEEFF" w:val="clear"/>
            <w:vAlign w:val="center"/>
          </w:tcPr>
          <w:p>
            <w:pPr>
              <w:pStyle w:val="TableContents"/>
              <w:bidi w:val="0"/>
              <w:spacing w:before="0" w:after="283"/>
              <w:jc w:val="left"/>
              <w:rPr/>
            </w:pPr>
            <w:r>
              <w:rPr/>
              <w:t>Forfeited/expired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4" w:name="xdx_980_ecustom--ClassOfWarrantsOrRightE"/>
            <w:bookmarkEnd w:id="844"/>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4150"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5" w:name="xdx_989_ecustom--ClassOfWarrantsOrRightE"/>
            <w:bookmarkEnd w:id="845"/>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(87,984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6" w:name="xdx_986_ecustom--ClassOfWarrantOrRightEx"/>
            <w:bookmarkEnd w:id="846"/>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pPr>
            <w:r>
              <w:rPr/>
              <w:t>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4150"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7" w:name="xdx_98C_eus-gaap--ClassOfWarrantOrRightO"/>
            <w:bookmarkEnd w:id="847"/>
          </w:p>
        </w:tc>
        <w:tc>
          <w:tcPr>
            <w:tcW w:w="980" w:type="dxa"/>
            <w:tcBorders/>
            <w:shd w:fill="CCEEFF" w:val="clear"/>
            <w:vAlign w:val="center"/>
          </w:tcPr>
          <w:p>
            <w:pPr>
              <w:pStyle w:val="TableContents"/>
              <w:bidi w:val="0"/>
              <w:spacing w:before="0" w:after="283"/>
              <w:jc w:val="right"/>
              <w:rPr/>
            </w:pPr>
            <w:r>
              <w:rPr/>
              <w:t>1,647,885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bookmarkStart w:id="848" w:name="xdx_906_ecustom--ClassOfWarrantOrRightsW"/>
            <w:bookmarkEnd w:id="848"/>
            <w:r>
              <w:rPr/>
              <w:t>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bookmarkStart w:id="849" w:name="xdx_90B_ecustom--WarrantsOutstandingWeig"/>
            <w:bookmarkEnd w:id="849"/>
            <w:r>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bookmarkStart w:id="850" w:name="xdx_98E_eus-gaap--ShareBasedCompensation"/>
            <w:bookmarkEnd w:id="850"/>
          </w:p>
        </w:tc>
        <w:tc>
          <w:tcPr>
            <w:tcW w:w="1106" w:type="dxa"/>
            <w:tcBorders/>
            <w:shd w:fill="CCEEFF" w:val="clear"/>
            <w:vAlign w:val="center"/>
          </w:tcPr>
          <w:p>
            <w:pPr>
              <w:pStyle w:val="TableContents"/>
              <w:bidi w:val="0"/>
              <w:spacing w:before="0" w:after="283"/>
              <w:jc w:val="right"/>
              <w:rPr/>
            </w:pPr>
            <w:r>
              <w:rPr/>
              <w:t>111,231</w:t>
            </w:r>
          </w:p>
        </w:tc>
        <w:tc>
          <w:tcPr>
            <w:tcW w:w="76" w:type="dxa"/>
            <w:tcBorders/>
            <w:shd w:fill="CCEEFF" w:val="clear"/>
            <w:vAlign w:val="center"/>
          </w:tcPr>
          <w:p>
            <w:pPr>
              <w:pStyle w:val="TableContents"/>
              <w:bidi w:val="0"/>
              <w:spacing w:before="0" w:after="283"/>
              <w:jc w:val="left"/>
              <w:rPr/>
            </w:pPr>
            <w:r>
              <w:rPr/>
              <w:t> </w:t>
            </w:r>
          </w:p>
        </w:tc>
      </w:tr>
      <w:tr>
        <w:trPr/>
        <w:tc>
          <w:tcPr>
            <w:tcW w:w="4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150" w:type="dxa"/>
            <w:tcBorders/>
            <w:shd w:fill="CCEEFF" w:val="clear"/>
            <w:vAlign w:val="center"/>
          </w:tcPr>
          <w:p>
            <w:pPr>
              <w:pStyle w:val="TableContents"/>
              <w:bidi w:val="0"/>
              <w:spacing w:before="0" w:after="283"/>
              <w:jc w:val="left"/>
              <w:rPr/>
            </w:pPr>
            <w:r>
              <w:rPr/>
              <w:t>Vested and expected to vest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51" w:name="xdx_98A_ecustom--ClassOfWarrantOrRightsV"/>
            <w:bookmarkEnd w:id="851"/>
          </w:p>
        </w:tc>
        <w:tc>
          <w:tcPr>
            <w:tcW w:w="980" w:type="dxa"/>
            <w:tcBorders/>
            <w:shd w:fill="CCEEFF" w:val="clear"/>
            <w:vAlign w:val="center"/>
          </w:tcPr>
          <w:p>
            <w:pPr>
              <w:pStyle w:val="TableContents"/>
              <w:bidi w:val="0"/>
              <w:spacing w:before="0" w:after="283"/>
              <w:jc w:val="right"/>
              <w:rPr/>
            </w:pPr>
            <w:r>
              <w:rPr/>
              <w:t>1,647,885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bookmarkStart w:id="852" w:name="xdx_986_ecustom--ClassOfWarrantOrRightsW"/>
            <w:bookmarkEnd w:id="852"/>
          </w:p>
        </w:tc>
        <w:tc>
          <w:tcPr>
            <w:tcW w:w="1222" w:type="dxa"/>
            <w:tcBorders/>
            <w:shd w:fill="CCEEFF" w:val="clear"/>
            <w:vAlign w:val="center"/>
          </w:tcPr>
          <w:p>
            <w:pPr>
              <w:pStyle w:val="TableContents"/>
              <w:bidi w:val="0"/>
              <w:spacing w:before="0" w:after="283"/>
              <w:jc w:val="right"/>
              <w:rPr/>
            </w:pPr>
            <w:r>
              <w:rPr/>
              <w:t>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bookmarkStart w:id="853" w:name="xdx_908_ecustom--WarrantsWeightedAverage"/>
            <w:bookmarkEnd w:id="853"/>
            <w:r>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bookmarkStart w:id="854" w:name="xdx_98D_eus-gaap--SharebasedCompensation"/>
            <w:bookmarkEnd w:id="854"/>
          </w:p>
        </w:tc>
        <w:tc>
          <w:tcPr>
            <w:tcW w:w="1106" w:type="dxa"/>
            <w:tcBorders/>
            <w:shd w:fill="CCEEFF" w:val="clear"/>
            <w:vAlign w:val="center"/>
          </w:tcPr>
          <w:p>
            <w:pPr>
              <w:pStyle w:val="TableContents"/>
              <w:bidi w:val="0"/>
              <w:spacing w:before="0" w:after="283"/>
              <w:jc w:val="right"/>
              <w:rPr/>
            </w:pPr>
            <w:r>
              <w:rPr/>
              <w:t>111,231</w:t>
            </w:r>
          </w:p>
        </w:tc>
        <w:tc>
          <w:tcPr>
            <w:tcW w:w="76" w:type="dxa"/>
            <w:tcBorders/>
            <w:shd w:fill="CCEEFF" w:val="clear"/>
            <w:vAlign w:val="center"/>
          </w:tcPr>
          <w:p>
            <w:pPr>
              <w:pStyle w:val="TableContents"/>
              <w:bidi w:val="0"/>
              <w:spacing w:before="0" w:after="283"/>
              <w:jc w:val="left"/>
              <w:rPr/>
            </w:pPr>
            <w:r>
              <w:rPr/>
              <w:t> </w:t>
            </w:r>
          </w:p>
        </w:tc>
      </w:tr>
      <w:tr>
        <w:trPr/>
        <w:tc>
          <w:tcPr>
            <w:tcW w:w="4150" w:type="dxa"/>
            <w:tcBorders/>
            <w:shd w:fill="FFFFFF" w:val="clear"/>
            <w:vAlign w:val="center"/>
          </w:tcPr>
          <w:p>
            <w:pPr>
              <w:pStyle w:val="TableContents"/>
              <w:bidi w:val="0"/>
              <w:spacing w:before="0" w:after="283"/>
              <w:jc w:val="left"/>
              <w:rPr/>
            </w:pPr>
            <w:r>
              <w:rPr/>
              <w:t>Exercisable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55" w:name="xdx_98B_ecustom--ClassOfWarrantOrRightsE"/>
            <w:bookmarkEnd w:id="855"/>
          </w:p>
        </w:tc>
        <w:tc>
          <w:tcPr>
            <w:tcW w:w="980" w:type="dxa"/>
            <w:tcBorders/>
            <w:shd w:fill="FFFFFF" w:val="clear"/>
            <w:vAlign w:val="center"/>
          </w:tcPr>
          <w:p>
            <w:pPr>
              <w:pStyle w:val="TableContents"/>
              <w:bidi w:val="0"/>
              <w:spacing w:before="0" w:after="283"/>
              <w:jc w:val="right"/>
              <w:rPr/>
            </w:pPr>
            <w:r>
              <w:rPr/>
              <w:t>1,647,885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w:t>
            </w:r>
            <w:bookmarkStart w:id="856" w:name="xdx_980_ecustom--ClassOfWarrantOrRightsW"/>
            <w:bookmarkEnd w:id="856"/>
          </w:p>
        </w:tc>
        <w:tc>
          <w:tcPr>
            <w:tcW w:w="1222" w:type="dxa"/>
            <w:tcBorders/>
            <w:shd w:fill="FFFFFF" w:val="clear"/>
            <w:vAlign w:val="center"/>
          </w:tcPr>
          <w:p>
            <w:pPr>
              <w:pStyle w:val="TableContents"/>
              <w:bidi w:val="0"/>
              <w:spacing w:before="0" w:after="283"/>
              <w:jc w:val="right"/>
              <w:rPr/>
            </w:pPr>
            <w:r>
              <w:rPr/>
              <w:t>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bookmarkStart w:id="857" w:name="xdx_900_ecustom--WarrantsExercisableWeig"/>
            <w:bookmarkEnd w:id="857"/>
            <w:r>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bookmarkStart w:id="858" w:name="xdx_984_eus-gaap--ShareBasedCompensation"/>
            <w:bookmarkEnd w:id="858"/>
          </w:p>
        </w:tc>
        <w:tc>
          <w:tcPr>
            <w:tcW w:w="1106" w:type="dxa"/>
            <w:tcBorders/>
            <w:shd w:fill="FFFFFF" w:val="clear"/>
            <w:vAlign w:val="center"/>
          </w:tcPr>
          <w:p>
            <w:pPr>
              <w:pStyle w:val="TableContents"/>
              <w:bidi w:val="0"/>
              <w:spacing w:before="0" w:after="283"/>
              <w:jc w:val="right"/>
              <w:rPr/>
            </w:pPr>
            <w:r>
              <w:rPr/>
              <w:t>111,231</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859" w:name="xdx_8AF_zPtIoBvBegyd"/>
      <w:bookmarkEnd w:id="8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preceding tables represents the total pretax intrinsic value, based on warrants with an exercise price less than the company’s stock price of $</w:t>
      </w:r>
      <w:bookmarkStart w:id="860" w:name="xdx_90A_eus-gaap--SharePrice_iI_pid_c202"/>
      <w:bookmarkEnd w:id="860"/>
      <w:r>
        <w:rPr>
          <w:rFonts w:ascii="Times New Roman;Times;Serif" w:hAnsi="Times New Roman;Times;Serif"/>
          <w:b w:val="false"/>
          <w:i w:val="false"/>
          <w:caps w:val="false"/>
          <w:smallCaps w:val="false"/>
          <w:sz w:val="20"/>
        </w:rPr>
        <w:t>1.13 as of March 31, 2026, which would have been received by the warrant holders had those warrant holders exercised their warrants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61" w:name="xdx_890_eus-gaap--NonvestedRestrictedSto"/>
      <w:bookmarkEnd w:id="861"/>
      <w:r>
        <w:rPr>
          <w:rFonts w:ascii="Times New Roman;Times;Serif" w:hAnsi="Times New Roman;Times;Serif"/>
          <w:b w:val="false"/>
          <w:i w:val="false"/>
          <w:caps w:val="false"/>
          <w:smallCaps w:val="false"/>
          <w:sz w:val="20"/>
        </w:rPr>
        <w:t>The following table summarizes the restricted stock activity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862" w:name="xdx_8B7_zo25I9PwmE1i"/>
      <w:bookmarkEnd w:id="862"/>
      <w:r>
        <w:rPr>
          <w:rFonts w:ascii="Times New Roman;Times;Serif" w:hAnsi="Times New Roman;Times;Serif"/>
          <w:b w:val="false"/>
          <w:i w:val="false"/>
          <w:caps w:val="false"/>
          <w:smallCaps w:val="false"/>
          <w:sz w:val="20"/>
        </w:rPr>
        <w:t>SCHEDULE OF RESTRICTED STOCK ACTIVITY</w:t>
      </w:r>
    </w:p>
    <w:tbl>
      <w:tblPr>
        <w:tblW w:w="10205" w:type="dxa"/>
        <w:jc w:val="left"/>
        <w:tblInd w:w="0" w:type="dxa"/>
        <w:tblLayout w:type="fixed"/>
        <w:tblCellMar>
          <w:top w:w="0" w:type="dxa"/>
          <w:left w:w="0" w:type="dxa"/>
          <w:bottom w:w="0" w:type="dxa"/>
          <w:right w:w="0" w:type="dxa"/>
        </w:tblCellMar>
      </w:tblPr>
      <w:tblGrid>
        <w:gridCol w:w="3708"/>
        <w:gridCol w:w="60"/>
        <w:gridCol w:w="90"/>
        <w:gridCol w:w="1598"/>
        <w:gridCol w:w="95"/>
        <w:gridCol w:w="60"/>
        <w:gridCol w:w="1088"/>
        <w:gridCol w:w="3428"/>
        <w:gridCol w:w="78"/>
      </w:tblGrid>
      <w:tr>
        <w:trPr/>
        <w:tc>
          <w:tcPr>
            <w:tcW w:w="3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 Grant Date Fair Value Per Share</w:t>
            </w:r>
          </w:p>
        </w:tc>
        <w:tc>
          <w:tcPr>
            <w:tcW w:w="78" w:type="dxa"/>
            <w:tcBorders/>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283"/>
              <w:jc w:val="left"/>
              <w:rPr/>
            </w:pPr>
            <w:r>
              <w:rPr/>
              <w:t>Restricted shares issued as of January 1, 2026</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bookmarkStart w:id="863" w:name="xdx_986_eus-gaap--ShareBasedCompensation"/>
            <w:bookmarkEnd w:id="863"/>
          </w:p>
        </w:tc>
        <w:tc>
          <w:tcPr>
            <w:tcW w:w="1598" w:type="dxa"/>
            <w:tcBorders/>
            <w:shd w:fill="CCEEFF" w:val="clear"/>
            <w:vAlign w:val="center"/>
          </w:tcPr>
          <w:p>
            <w:pPr>
              <w:pStyle w:val="TableContents"/>
              <w:bidi w:val="0"/>
              <w:spacing w:before="0" w:after="283"/>
              <w:jc w:val="right"/>
              <w:rPr/>
            </w:pPr>
            <w:r>
              <w:rPr/>
              <w:t>2,037,500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w:t>
            </w:r>
            <w:bookmarkStart w:id="864" w:name="xdx_98A_eus-gaap--ShareBasedCompensation"/>
            <w:bookmarkEnd w:id="864"/>
          </w:p>
        </w:tc>
        <w:tc>
          <w:tcPr>
            <w:tcW w:w="3428" w:type="dxa"/>
            <w:tcBorders/>
            <w:shd w:fill="CCEEFF" w:val="clear"/>
            <w:vAlign w:val="center"/>
          </w:tcPr>
          <w:p>
            <w:pPr>
              <w:pStyle w:val="TableContents"/>
              <w:bidi w:val="0"/>
              <w:spacing w:before="0" w:after="283"/>
              <w:jc w:val="right"/>
              <w:rPr/>
            </w:pPr>
            <w:r>
              <w:rPr/>
              <w:t>5.36</w:t>
            </w:r>
          </w:p>
        </w:tc>
        <w:tc>
          <w:tcPr>
            <w:tcW w:w="78" w:type="dxa"/>
            <w:tcBorders/>
            <w:shd w:fill="CCEEFF" w:val="clear"/>
            <w:vAlign w:val="center"/>
          </w:tcPr>
          <w:p>
            <w:pPr>
              <w:pStyle w:val="TableContents"/>
              <w:bidi w:val="0"/>
              <w:spacing w:before="0" w:after="283"/>
              <w:jc w:val="left"/>
              <w:rPr/>
            </w:pPr>
            <w:r>
              <w:rPr/>
              <w:t> </w:t>
            </w:r>
          </w:p>
        </w:tc>
      </w:tr>
      <w:tr>
        <w:trPr/>
        <w:tc>
          <w:tcPr>
            <w:tcW w:w="3708"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bookmarkStart w:id="865" w:name="xdx_989_eus-gaap--ShareBasedCompensation"/>
            <w:bookmarkEnd w:id="865"/>
          </w:p>
        </w:tc>
        <w:tc>
          <w:tcPr>
            <w:tcW w:w="1598" w:type="dxa"/>
            <w:tcBorders/>
            <w:shd w:fill="FFFFFF" w:val="clear"/>
            <w:vAlign w:val="center"/>
          </w:tcPr>
          <w:p>
            <w:pPr>
              <w:pStyle w:val="TableContents"/>
              <w:bidi w:val="0"/>
              <w:spacing w:before="0" w:after="283"/>
              <w:jc w:val="right"/>
              <w:rPr/>
            </w:pPr>
            <w:r>
              <w:rPr/>
              <w:t>8,868,316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w:t>
            </w:r>
            <w:bookmarkStart w:id="866" w:name="xdx_982_eus-gaap--ShareBasedCompensation"/>
            <w:bookmarkEnd w:id="866"/>
          </w:p>
        </w:tc>
        <w:tc>
          <w:tcPr>
            <w:tcW w:w="3428" w:type="dxa"/>
            <w:tcBorders/>
            <w:shd w:fill="FFFFFF" w:val="clear"/>
            <w:vAlign w:val="center"/>
          </w:tcPr>
          <w:p>
            <w:pPr>
              <w:pStyle w:val="TableContents"/>
              <w:bidi w:val="0"/>
              <w:spacing w:before="0" w:after="283"/>
              <w:jc w:val="right"/>
              <w:rPr/>
            </w:pPr>
            <w:r>
              <w:rPr/>
              <w:t>2.91</w:t>
            </w:r>
          </w:p>
        </w:tc>
        <w:tc>
          <w:tcPr>
            <w:tcW w:w="78" w:type="dxa"/>
            <w:tcBorders/>
            <w:shd w:fill="FFFFFF" w:val="clear"/>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bookmarkStart w:id="867" w:name="xdx_987_eus-gaap--ShareBasedCompensation"/>
            <w:bookmarkEnd w:id="867"/>
          </w:p>
        </w:tc>
        <w:tc>
          <w:tcPr>
            <w:tcW w:w="1598" w:type="dxa"/>
            <w:tcBorders/>
            <w:shd w:fill="CCEEFF" w:val="clear"/>
            <w:vAlign w:val="center"/>
          </w:tcPr>
          <w:p>
            <w:pPr>
              <w:pStyle w:val="TableContents"/>
              <w:bidi w:val="0"/>
              <w:spacing w:before="0" w:after="283"/>
              <w:jc w:val="right"/>
              <w:rPr/>
            </w:pPr>
            <w:r>
              <w:rPr/>
              <w:t>(6,123,941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w:t>
            </w:r>
            <w:bookmarkStart w:id="868" w:name="xdx_986_eus-gaap--ShareBasedCompensation"/>
            <w:bookmarkEnd w:id="868"/>
          </w:p>
        </w:tc>
        <w:tc>
          <w:tcPr>
            <w:tcW w:w="3428" w:type="dxa"/>
            <w:tcBorders/>
            <w:shd w:fill="CCEEFF" w:val="clear"/>
            <w:vAlign w:val="center"/>
          </w:tcPr>
          <w:p>
            <w:pPr>
              <w:pStyle w:val="TableContents"/>
              <w:bidi w:val="0"/>
              <w:spacing w:before="0" w:after="283"/>
              <w:jc w:val="right"/>
              <w:rPr/>
            </w:pPr>
            <w:r>
              <w:rPr/>
              <w:t>3.01</w:t>
            </w:r>
          </w:p>
        </w:tc>
        <w:tc>
          <w:tcPr>
            <w:tcW w:w="78" w:type="dxa"/>
            <w:tcBorders/>
            <w:shd w:fill="CCEEFF" w:val="clear"/>
            <w:vAlign w:val="center"/>
          </w:tcPr>
          <w:p>
            <w:pPr>
              <w:pStyle w:val="TableContents"/>
              <w:bidi w:val="0"/>
              <w:spacing w:before="0" w:after="283"/>
              <w:jc w:val="left"/>
              <w:rPr/>
            </w:pPr>
            <w:r>
              <w:rPr/>
              <w:t> </w:t>
            </w:r>
          </w:p>
        </w:tc>
      </w:tr>
      <w:tr>
        <w:trPr/>
        <w:tc>
          <w:tcPr>
            <w:tcW w:w="3708"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69" w:name="xdx_980_eus-gaap--ShareBasedCompensation"/>
            <w:bookmarkEnd w:id="869"/>
          </w:p>
        </w:tc>
        <w:tc>
          <w:tcPr>
            <w:tcW w:w="1598" w:type="dxa"/>
            <w:tcBorders>
              <w:bottom w:val="single" w:sz="8" w:space="0" w:color="000000"/>
            </w:tcBorders>
            <w:shd w:fill="FFFFFF" w:val="clear"/>
            <w:tcMar>
              <w:bottom w:w="28" w:type="dxa"/>
            </w:tcMar>
            <w:vAlign w:val="center"/>
          </w:tcPr>
          <w:p>
            <w:pPr>
              <w:pStyle w:val="TableContents"/>
              <w:bidi w:val="0"/>
              <w:spacing w:before="0" w:after="283"/>
              <w:jc w:val="right"/>
              <w:rPr/>
            </w:pPr>
            <w:r>
              <w:rPr/>
              <w:t>(198,500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w:t>
            </w:r>
            <w:bookmarkStart w:id="870" w:name="xdx_981_eus-gaap--ShareBasedCompensation"/>
            <w:bookmarkEnd w:id="870"/>
          </w:p>
        </w:tc>
        <w:tc>
          <w:tcPr>
            <w:tcW w:w="3428" w:type="dxa"/>
            <w:tcBorders/>
            <w:shd w:fill="FFFFFF" w:val="clear"/>
            <w:vAlign w:val="center"/>
          </w:tcPr>
          <w:p>
            <w:pPr>
              <w:pStyle w:val="TableContents"/>
              <w:bidi w:val="0"/>
              <w:spacing w:before="0" w:after="283"/>
              <w:jc w:val="right"/>
              <w:rPr/>
            </w:pPr>
            <w:r>
              <w:rPr/>
              <w:t>3.21</w:t>
            </w:r>
          </w:p>
        </w:tc>
        <w:tc>
          <w:tcPr>
            <w:tcW w:w="78" w:type="dxa"/>
            <w:tcBorders/>
            <w:shd w:fill="FFFFFF" w:val="clear"/>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71" w:name="xdx_98C_eus-gaap--ShareBasedCompensation"/>
            <w:bookmarkEnd w:id="871"/>
          </w:p>
        </w:tc>
        <w:tc>
          <w:tcPr>
            <w:tcW w:w="1598" w:type="dxa"/>
            <w:tcBorders>
              <w:bottom w:val="double" w:sz="6" w:space="0" w:color="000000"/>
            </w:tcBorders>
            <w:shd w:fill="CCEEFF" w:val="clear"/>
            <w:tcMar>
              <w:bottom w:w="28" w:type="dxa"/>
            </w:tcMar>
            <w:vAlign w:val="center"/>
          </w:tcPr>
          <w:p>
            <w:pPr>
              <w:pStyle w:val="TableContents"/>
              <w:bidi w:val="0"/>
              <w:spacing w:before="0" w:after="283"/>
              <w:jc w:val="right"/>
              <w:rPr/>
            </w:pPr>
            <w:r>
              <w:rPr/>
              <w:t>4,583,375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w:t>
            </w:r>
            <w:bookmarkStart w:id="872" w:name="xdx_984_eus-gaap--ShareBasedCompensation"/>
            <w:bookmarkEnd w:id="872"/>
          </w:p>
        </w:tc>
        <w:tc>
          <w:tcPr>
            <w:tcW w:w="3428" w:type="dxa"/>
            <w:tcBorders/>
            <w:shd w:fill="CCEEFF" w:val="clear"/>
            <w:vAlign w:val="center"/>
          </w:tcPr>
          <w:p>
            <w:pPr>
              <w:pStyle w:val="TableContents"/>
              <w:bidi w:val="0"/>
              <w:spacing w:before="0" w:after="283"/>
              <w:jc w:val="right"/>
              <w:rPr/>
            </w:pPr>
            <w:r>
              <w:rPr/>
              <w:t>3.86</w:t>
            </w:r>
          </w:p>
        </w:tc>
        <w:tc>
          <w:tcPr>
            <w:tcW w:w="78" w:type="dxa"/>
            <w:tcBorders/>
            <w:shd w:fill="CCEEFF" w:val="clear"/>
            <w:vAlign w:val="center"/>
          </w:tcPr>
          <w:p>
            <w:pPr>
              <w:pStyle w:val="TableContents"/>
              <w:bidi w:val="0"/>
              <w:spacing w:before="0" w:after="283"/>
              <w:jc w:val="left"/>
              <w:rPr/>
            </w:pPr>
            <w:r>
              <w:rPr/>
              <w:t> </w:t>
            </w:r>
          </w:p>
        </w:tc>
      </w:tr>
      <w:tr>
        <w:trPr/>
        <w:tc>
          <w:tcPr>
            <w:tcW w:w="3708" w:type="dxa"/>
            <w:tcBorders/>
            <w:shd w:fill="FFFFFF" w:val="clear"/>
            <w:vAlign w:val="center"/>
          </w:tcPr>
          <w:p>
            <w:pPr>
              <w:pStyle w:val="TableContents"/>
              <w:bidi w:val="0"/>
              <w:spacing w:before="0" w:after="283"/>
              <w:jc w:val="left"/>
              <w:rPr/>
            </w:pPr>
            <w:r>
              <w:rPr/>
              <w:t>Comprised of:</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5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342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708" w:type="dxa"/>
            <w:tcBorders/>
            <w:shd w:fill="CCEEFF" w:val="clear"/>
            <w:vAlign w:val="center"/>
          </w:tcPr>
          <w:p>
            <w:pPr>
              <w:pStyle w:val="TableContents"/>
              <w:bidi w:val="0"/>
              <w:spacing w:before="0" w:after="283"/>
              <w:jc w:val="left"/>
              <w:rPr/>
            </w:pPr>
            <w:r>
              <w:rPr/>
              <w:t>Vested restricted shares as of March 31, 2026</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bookmarkStart w:id="873" w:name="xdx_985_ecustom--ShareBasedCompensationA"/>
            <w:bookmarkEnd w:id="873"/>
          </w:p>
        </w:tc>
        <w:tc>
          <w:tcPr>
            <w:tcW w:w="1598" w:type="dxa"/>
            <w:tcBorders/>
            <w:shd w:fill="CCEEFF" w:val="clear"/>
            <w:vAlign w:val="center"/>
          </w:tcPr>
          <w:p>
            <w:pPr>
              <w:pStyle w:val="TableContents"/>
              <w:bidi w:val="0"/>
              <w:spacing w:before="0" w:after="283"/>
              <w:jc w:val="right"/>
              <w:rPr/>
            </w:pPr>
            <w:r>
              <w:rPr/>
              <w:t>301,500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w:t>
            </w:r>
            <w:bookmarkStart w:id="874" w:name="xdx_980_ecustom--ShareBasedCompensationA"/>
            <w:bookmarkEnd w:id="874"/>
          </w:p>
        </w:tc>
        <w:tc>
          <w:tcPr>
            <w:tcW w:w="3428" w:type="dxa"/>
            <w:tcBorders/>
            <w:shd w:fill="CCEEFF" w:val="clear"/>
            <w:vAlign w:val="center"/>
          </w:tcPr>
          <w:p>
            <w:pPr>
              <w:pStyle w:val="TableContents"/>
              <w:bidi w:val="0"/>
              <w:spacing w:before="0" w:after="283"/>
              <w:jc w:val="right"/>
              <w:rPr/>
            </w:pPr>
            <w:r>
              <w:rPr/>
              <w:t>3.21</w:t>
            </w:r>
          </w:p>
        </w:tc>
        <w:tc>
          <w:tcPr>
            <w:tcW w:w="78" w:type="dxa"/>
            <w:tcBorders/>
            <w:shd w:fill="CCEEFF" w:val="clear"/>
            <w:vAlign w:val="center"/>
          </w:tcPr>
          <w:p>
            <w:pPr>
              <w:pStyle w:val="TableContents"/>
              <w:bidi w:val="0"/>
              <w:spacing w:before="0" w:after="283"/>
              <w:jc w:val="left"/>
              <w:rPr/>
            </w:pPr>
            <w:r>
              <w:rPr/>
              <w:t> </w:t>
            </w:r>
          </w:p>
        </w:tc>
      </w:tr>
      <w:tr>
        <w:trPr/>
        <w:tc>
          <w:tcPr>
            <w:tcW w:w="3708" w:type="dxa"/>
            <w:tcBorders/>
            <w:shd w:fill="FFFFFF" w:val="clear"/>
            <w:vAlign w:val="center"/>
          </w:tcPr>
          <w:p>
            <w:pPr>
              <w:pStyle w:val="TableContents"/>
              <w:bidi w:val="0"/>
              <w:spacing w:before="0" w:after="283"/>
              <w:jc w:val="left"/>
              <w:rPr/>
            </w:pPr>
            <w:r>
              <w:rPr/>
              <w:t>Unvested restricted shares as of March 31, 2026</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bookmarkStart w:id="875" w:name="xdx_988_ecustom--ShareBasedCompensationA"/>
            <w:bookmarkEnd w:id="875"/>
          </w:p>
        </w:tc>
        <w:tc>
          <w:tcPr>
            <w:tcW w:w="1598" w:type="dxa"/>
            <w:tcBorders/>
            <w:shd w:fill="FFFFFF" w:val="clear"/>
            <w:vAlign w:val="center"/>
          </w:tcPr>
          <w:p>
            <w:pPr>
              <w:pStyle w:val="TableContents"/>
              <w:bidi w:val="0"/>
              <w:spacing w:before="0" w:after="283"/>
              <w:jc w:val="right"/>
              <w:rPr/>
            </w:pPr>
            <w:r>
              <w:rPr/>
              <w:t>4,281,875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w:t>
            </w:r>
            <w:bookmarkStart w:id="876" w:name="xdx_98C_ecustom--ShareBasedCompensationA"/>
            <w:bookmarkEnd w:id="876"/>
          </w:p>
        </w:tc>
        <w:tc>
          <w:tcPr>
            <w:tcW w:w="3428" w:type="dxa"/>
            <w:tcBorders/>
            <w:shd w:fill="FFFFFF" w:val="clear"/>
            <w:vAlign w:val="center"/>
          </w:tcPr>
          <w:p>
            <w:pPr>
              <w:pStyle w:val="TableContents"/>
              <w:bidi w:val="0"/>
              <w:spacing w:before="0" w:after="283"/>
              <w:jc w:val="right"/>
              <w:rPr/>
            </w:pPr>
            <w:r>
              <w:rPr/>
              <w:t>3.90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77" w:name="xdx_8AD_zQKiaLgFeJB7"/>
      <w:bookmarkEnd w:id="87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 related to RSU grants was $</w:t>
      </w:r>
      <w:bookmarkStart w:id="878" w:name="xdx_90A_eus-gaap--ShareBasedCompensation"/>
      <w:bookmarkEnd w:id="878"/>
      <w:r>
        <w:rPr>
          <w:rFonts w:ascii="Times New Roman;Times;Serif" w:hAnsi="Times New Roman;Times;Serif"/>
          <w:b w:val="false"/>
          <w:i w:val="false"/>
          <w:caps w:val="false"/>
          <w:smallCaps w:val="false"/>
          <w:sz w:val="20"/>
        </w:rPr>
        <w:t>24,545 and $</w:t>
      </w:r>
      <w:bookmarkStart w:id="879" w:name="xdx_906_eus-gaap--ShareBasedCompensation"/>
      <w:bookmarkEnd w:id="879"/>
      <w:r>
        <w:rPr>
          <w:rFonts w:ascii="Times New Roman;Times;Serif" w:hAnsi="Times New Roman;Times;Serif"/>
          <w:b w:val="false"/>
          <w:i w:val="false"/>
          <w:caps w:val="false"/>
          <w:smallCaps w:val="false"/>
          <w:sz w:val="20"/>
        </w:rPr>
        <w:t>2,236 for the three months ended March 31, 2026 and 2025, respectively, which is included in general and administrative expenses in the unaudited condensed consolidated statements of operations. As of March 31, 2026, total unrecognized stock-based compensation cost related to unvested RSUs was approximately $</w:t>
      </w:r>
      <w:bookmarkStart w:id="880" w:name="xdx_90C_eus-gaap--EmployeeServiceShareBa"/>
      <w:bookmarkEnd w:id="880"/>
      <w:r>
        <w:rPr>
          <w:rFonts w:ascii="Times New Roman;Times;Serif" w:hAnsi="Times New Roman;Times;Serif"/>
          <w:b w:val="false"/>
          <w:i w:val="false"/>
          <w:caps w:val="false"/>
          <w:smallCaps w:val="false"/>
          <w:sz w:val="20"/>
        </w:rPr>
        <w:t xml:space="preserve">24,545, which is expected to be recognized over a weighted-average period of approximately </w:t>
      </w:r>
      <w:bookmarkStart w:id="881" w:name="xdx_90D_eus-gaap--SharebasedCompensation"/>
      <w:bookmarkEnd w:id="881"/>
      <w:r>
        <w:rPr>
          <w:rFonts w:ascii="Times New Roman;Times;Serif" w:hAnsi="Times New Roman;Times;Serif"/>
          <w:b w:val="false"/>
          <w:i w:val="false"/>
          <w:caps w:val="false"/>
          <w:smallCaps w:val="false"/>
          <w:sz w:val="20"/>
        </w:rPr>
        <w:t>1.33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terms of individual RSU grants issued during the three months ended March 31, 2026 that were subject to vesting conditions extending beyond the grant date:</w:t>
      </w:r>
    </w:p>
    <w:p>
      <w:pPr>
        <w:pStyle w:val="TextBody"/>
        <w:bidi w:val="0"/>
        <w:spacing w:before="0" w:after="0"/>
        <w:ind w:left="0" w:right="0" w:hanging="0"/>
        <w:jc w:val="both"/>
        <w:rPr>
          <w:caps w:val="false"/>
          <w:smallCaps w:val="false"/>
        </w:rPr>
      </w:pPr>
      <w:bookmarkStart w:id="882" w:name="xdx_892_eus-gaap--DisclosureOfShareBased"/>
      <w:bookmarkEnd w:id="882"/>
      <w:r>
        <w:rPr>
          <w:caps w:val="false"/>
          <w:smallCaps w:val="false"/>
        </w:rPr>
        <w:t> </w:t>
      </w:r>
      <w:bookmarkStart w:id="883" w:name="xdx_8B7_zukx0GBYflga"/>
      <w:bookmarkEnd w:id="883"/>
      <w:r>
        <w:rPr>
          <w:rFonts w:ascii="Times New Roman;Times;Serif" w:hAnsi="Times New Roman;Times;Serif"/>
          <w:b w:val="false"/>
          <w:i w:val="false"/>
          <w:caps w:val="false"/>
          <w:smallCaps w:val="false"/>
          <w:sz w:val="20"/>
        </w:rPr>
        <w:t>SCHEDULE OF RESTRICTED STOCK UNITS GRANTS</w:t>
      </w:r>
    </w:p>
    <w:tbl>
      <w:tblPr>
        <w:tblW w:w="10205" w:type="dxa"/>
        <w:jc w:val="left"/>
        <w:tblInd w:w="0" w:type="dxa"/>
        <w:tblLayout w:type="fixed"/>
        <w:tblCellMar>
          <w:top w:w="0" w:type="dxa"/>
          <w:left w:w="0" w:type="dxa"/>
          <w:bottom w:w="28" w:type="dxa"/>
          <w:right w:w="0" w:type="dxa"/>
        </w:tblCellMar>
      </w:tblPr>
      <w:tblGrid>
        <w:gridCol w:w="970"/>
        <w:gridCol w:w="60"/>
        <w:gridCol w:w="2044"/>
        <w:gridCol w:w="60"/>
        <w:gridCol w:w="76"/>
        <w:gridCol w:w="1248"/>
        <w:gridCol w:w="60"/>
        <w:gridCol w:w="60"/>
        <w:gridCol w:w="4790"/>
        <w:gridCol w:w="60"/>
        <w:gridCol w:w="140"/>
        <w:gridCol w:w="560"/>
        <w:gridCol w:w="77"/>
      </w:tblGrid>
      <w:tr>
        <w:trPr/>
        <w:tc>
          <w:tcPr>
            <w:tcW w:w="970" w:type="dxa"/>
            <w:tcBorders>
              <w:bottom w:val="single" w:sz="8" w:space="0" w:color="000000"/>
            </w:tcBorders>
            <w:vAlign w:val="center"/>
          </w:tcPr>
          <w:p>
            <w:pPr>
              <w:pStyle w:val="TableContents"/>
              <w:bidi w:val="0"/>
              <w:spacing w:before="0" w:after="283"/>
              <w:jc w:val="center"/>
              <w:rPr>
                <w:b/>
              </w:rPr>
            </w:pPr>
            <w:r>
              <w:rPr>
                <w:b/>
              </w:rPr>
              <w:t>Grant Date</w:t>
            </w:r>
          </w:p>
        </w:tc>
        <w:tc>
          <w:tcPr>
            <w:tcW w:w="60" w:type="dxa"/>
            <w:tcBorders/>
            <w:tcMar>
              <w:bottom w:w="0" w:type="dxa"/>
            </w:tcMar>
            <w:vAlign w:val="center"/>
          </w:tcPr>
          <w:p>
            <w:pPr>
              <w:pStyle w:val="TableContents"/>
              <w:bidi w:val="0"/>
              <w:spacing w:before="0" w:after="283"/>
              <w:jc w:val="left"/>
              <w:rPr/>
            </w:pPr>
            <w:r>
              <w:rPr/>
              <w:t> </w:t>
            </w:r>
          </w:p>
        </w:tc>
        <w:tc>
          <w:tcPr>
            <w:tcW w:w="2044" w:type="dxa"/>
            <w:tcBorders>
              <w:bottom w:val="single" w:sz="8" w:space="0" w:color="000000"/>
            </w:tcBorders>
            <w:vAlign w:val="center"/>
          </w:tcPr>
          <w:p>
            <w:pPr>
              <w:pStyle w:val="TableContents"/>
              <w:bidi w:val="0"/>
              <w:spacing w:before="0" w:after="283"/>
              <w:jc w:val="center"/>
              <w:rPr>
                <w:b/>
              </w:rPr>
            </w:pPr>
            <w:r>
              <w:rPr>
                <w:b/>
              </w:rPr>
              <w:t>Recipient</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8" w:space="0" w:color="000000"/>
            </w:tcBorders>
            <w:vAlign w:val="center"/>
          </w:tcPr>
          <w:p>
            <w:pPr>
              <w:pStyle w:val="TableContents"/>
              <w:bidi w:val="0"/>
              <w:spacing w:before="0" w:after="283"/>
              <w:jc w:val="center"/>
              <w:rPr>
                <w:b/>
              </w:rPr>
            </w:pPr>
            <w:r>
              <w:rPr>
                <w:b/>
              </w:rPr>
              <w:t>RSUs Granted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90" w:type="dxa"/>
            <w:tcBorders>
              <w:bottom w:val="single" w:sz="8" w:space="0" w:color="000000"/>
            </w:tcBorders>
            <w:vAlign w:val="center"/>
          </w:tcPr>
          <w:p>
            <w:pPr>
              <w:pStyle w:val="TableContents"/>
              <w:bidi w:val="0"/>
              <w:spacing w:before="0" w:after="283"/>
              <w:jc w:val="center"/>
              <w:rPr>
                <w:b/>
              </w:rPr>
            </w:pPr>
            <w:r>
              <w:rPr>
                <w:b/>
              </w:rPr>
              <w:t>Vesting Terms</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GDFV</w:t>
            </w:r>
            <w:r>
              <w:rPr>
                <w:rFonts w:ascii="Times New Roman;Times;Serif" w:hAnsi="Times New Roman;Times;Serif"/>
                <w:b/>
                <w:position w:val="7"/>
                <w:sz w:val="16"/>
                <w:sz w:val="20"/>
              </w:rPr>
              <w:t>1</w:t>
            </w:r>
          </w:p>
        </w:tc>
        <w:tc>
          <w:tcPr>
            <w:tcW w:w="77" w:type="dxa"/>
            <w:tcBorders/>
            <w:tcMar>
              <w:bottom w:w="0" w:type="dxa"/>
            </w:tcMar>
            <w:vAlign w:val="center"/>
          </w:tcPr>
          <w:p>
            <w:pPr>
              <w:pStyle w:val="TableContents"/>
              <w:bidi w:val="0"/>
              <w:spacing w:before="0" w:after="283"/>
              <w:jc w:val="left"/>
              <w:rPr/>
            </w:pPr>
            <w:r>
              <w:rPr/>
              <w:t> </w:t>
            </w:r>
          </w:p>
        </w:tc>
      </w:tr>
      <w:tr>
        <w:trPr/>
        <w:tc>
          <w:tcPr>
            <w:tcW w:w="970" w:type="dxa"/>
            <w:tcBorders/>
            <w:shd w:fill="CCEEFF" w:val="clear"/>
            <w:tcMar>
              <w:bottom w:w="0" w:type="dxa"/>
            </w:tcMar>
            <w:vAlign w:val="center"/>
          </w:tcPr>
          <w:p>
            <w:pPr>
              <w:pStyle w:val="TableContents"/>
              <w:bidi w:val="0"/>
              <w:spacing w:before="0" w:after="283"/>
              <w:jc w:val="center"/>
              <w:rPr/>
            </w:pPr>
            <w:r>
              <w:rPr/>
              <w:t>1/1/2026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4" w:type="dxa"/>
            <w:tcBorders/>
            <w:shd w:fill="CCEEFF" w:val="clear"/>
            <w:tcMar>
              <w:bottom w:w="0" w:type="dxa"/>
            </w:tcMar>
            <w:vAlign w:val="center"/>
          </w:tcPr>
          <w:p>
            <w:pPr>
              <w:pStyle w:val="TableContents"/>
              <w:bidi w:val="0"/>
              <w:spacing w:before="0" w:after="283"/>
              <w:jc w:val="center"/>
              <w:rPr/>
            </w:pPr>
            <w:r>
              <w:rPr/>
              <w:t>Third-party consultant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884" w:name="xdx_983_eus-gaap--ShareBasedCompensation"/>
            <w:bookmarkEnd w:id="884"/>
          </w:p>
        </w:tc>
        <w:tc>
          <w:tcPr>
            <w:tcW w:w="1248" w:type="dxa"/>
            <w:tcBorders/>
            <w:shd w:fill="CCEEFF" w:val="clear"/>
            <w:tcMar>
              <w:bottom w:w="0" w:type="dxa"/>
            </w:tcMar>
            <w:vAlign w:val="center"/>
          </w:tcPr>
          <w:p>
            <w:pPr>
              <w:pStyle w:val="TableContents"/>
              <w:bidi w:val="0"/>
              <w:spacing w:before="0" w:after="283"/>
              <w:jc w:val="righ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90" w:type="dxa"/>
            <w:tcBorders/>
            <w:shd w:fill="CCEEFF" w:val="clear"/>
            <w:tcMar>
              <w:bottom w:w="0" w:type="dxa"/>
            </w:tcMar>
            <w:vAlign w:val="center"/>
          </w:tcPr>
          <w:p>
            <w:pPr>
              <w:pStyle w:val="TableContents"/>
              <w:bidi w:val="0"/>
              <w:spacing w:before="0" w:after="283"/>
              <w:jc w:val="center"/>
              <w:rPr/>
            </w:pPr>
            <w:bookmarkStart w:id="885" w:name="xdx_904_eus-gaap--ShareBasedCompensation"/>
            <w:bookmarkEnd w:id="885"/>
            <w:r>
              <w:rPr/>
              <w:t>25,000 immediately; remainder quarterly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886" w:name="xdx_982_eus-gaap--StockIssuedDuringPerio"/>
            <w:bookmarkEnd w:id="886"/>
          </w:p>
        </w:tc>
        <w:tc>
          <w:tcPr>
            <w:tcW w:w="560" w:type="dxa"/>
            <w:tcBorders/>
            <w:shd w:fill="CCEEFF" w:val="clear"/>
            <w:tcMar>
              <w:bottom w:w="0" w:type="dxa"/>
            </w:tcMar>
            <w:vAlign w:val="center"/>
          </w:tcPr>
          <w:p>
            <w:pPr>
              <w:pStyle w:val="TableContents"/>
              <w:bidi w:val="0"/>
              <w:spacing w:before="0" w:after="283"/>
              <w:jc w:val="right"/>
              <w:rPr/>
            </w:pPr>
            <w:r>
              <w:rPr/>
              <w:t>758</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970" w:type="dxa"/>
            <w:tcBorders/>
            <w:shd w:fill="FFFFFF" w:val="clear"/>
            <w:tcMar>
              <w:bottom w:w="0" w:type="dxa"/>
            </w:tcMar>
            <w:vAlign w:val="center"/>
          </w:tcPr>
          <w:p>
            <w:pPr>
              <w:pStyle w:val="TableContents"/>
              <w:bidi w:val="0"/>
              <w:spacing w:before="0" w:after="283"/>
              <w:jc w:val="center"/>
              <w:rPr/>
            </w:pPr>
            <w:r>
              <w:rPr/>
              <w:t>1/8/2026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4" w:type="dxa"/>
            <w:tcBorders/>
            <w:shd w:fill="FFFFFF" w:val="clear"/>
            <w:tcMar>
              <w:bottom w:w="0" w:type="dxa"/>
            </w:tcMar>
            <w:vAlign w:val="center"/>
          </w:tcPr>
          <w:p>
            <w:pPr>
              <w:pStyle w:val="TableContents"/>
              <w:bidi w:val="0"/>
              <w:spacing w:before="0" w:after="283"/>
              <w:jc w:val="center"/>
              <w:rPr/>
            </w:pPr>
            <w:r>
              <w:rPr/>
              <w:t>Interim Executive Chairman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887" w:name="xdx_982_eus-gaap--ShareBasedCompensation"/>
            <w:bookmarkEnd w:id="887"/>
          </w:p>
        </w:tc>
        <w:tc>
          <w:tcPr>
            <w:tcW w:w="1248"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90" w:type="dxa"/>
            <w:tcBorders/>
            <w:shd w:fill="FFFFFF" w:val="clear"/>
            <w:tcMar>
              <w:bottom w:w="0" w:type="dxa"/>
            </w:tcMar>
            <w:vAlign w:val="center"/>
          </w:tcPr>
          <w:p>
            <w:pPr>
              <w:pStyle w:val="TableContents"/>
              <w:bidi w:val="0"/>
              <w:spacing w:before="0" w:after="283"/>
              <w:jc w:val="center"/>
              <w:rPr/>
            </w:pPr>
            <w:bookmarkStart w:id="888" w:name="xdx_90D_eus-gaap--ShareBasedCompensation"/>
            <w:bookmarkEnd w:id="888"/>
            <w:r>
              <w:rPr/>
              <w:t>4 equal quarterly installments over 1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889" w:name="xdx_985_eus-gaap--StockIssuedDuringPerio"/>
            <w:bookmarkEnd w:id="889"/>
          </w:p>
        </w:tc>
        <w:tc>
          <w:tcPr>
            <w:tcW w:w="560" w:type="dxa"/>
            <w:tcBorders/>
            <w:shd w:fill="FFFFFF" w:val="clear"/>
            <w:tcMar>
              <w:bottom w:w="0" w:type="dxa"/>
            </w:tcMar>
            <w:vAlign w:val="center"/>
          </w:tcPr>
          <w:p>
            <w:pPr>
              <w:pStyle w:val="TableContents"/>
              <w:bidi w:val="0"/>
              <w:spacing w:before="0" w:after="283"/>
              <w:jc w:val="right"/>
              <w:rPr/>
            </w:pPr>
            <w:r>
              <w:rPr/>
              <w:t>321</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970" w:type="dxa"/>
            <w:tcBorders/>
            <w:shd w:fill="CCEEFF" w:val="clear"/>
            <w:tcMar>
              <w:bottom w:w="0" w:type="dxa"/>
            </w:tcMar>
            <w:vAlign w:val="center"/>
          </w:tcPr>
          <w:p>
            <w:pPr>
              <w:pStyle w:val="TableContents"/>
              <w:bidi w:val="0"/>
              <w:spacing w:before="0" w:after="283"/>
              <w:jc w:val="center"/>
              <w:rPr/>
            </w:pPr>
            <w:r>
              <w:rPr/>
              <w:t>1/8/2026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4" w:type="dxa"/>
            <w:tcBorders/>
            <w:shd w:fill="CCEEFF" w:val="clear"/>
            <w:tcMar>
              <w:bottom w:w="0" w:type="dxa"/>
            </w:tcMar>
            <w:vAlign w:val="center"/>
          </w:tcPr>
          <w:p>
            <w:pPr>
              <w:pStyle w:val="TableContents"/>
              <w:bidi w:val="0"/>
              <w:spacing w:before="0" w:after="283"/>
              <w:jc w:val="center"/>
              <w:rPr/>
            </w:pPr>
            <w:r>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890" w:name="xdx_987_eus-gaap--ShareBasedCompensation"/>
            <w:bookmarkEnd w:id="890"/>
          </w:p>
        </w:tc>
        <w:tc>
          <w:tcPr>
            <w:tcW w:w="1248" w:type="dxa"/>
            <w:tcBorders/>
            <w:shd w:fill="CCEEFF" w:val="clear"/>
            <w:tcMar>
              <w:bottom w:w="0" w:type="dxa"/>
            </w:tcMar>
            <w:vAlign w:val="center"/>
          </w:tcPr>
          <w:p>
            <w:pPr>
              <w:pStyle w:val="TableContents"/>
              <w:bidi w:val="0"/>
              <w:spacing w:before="0" w:after="283"/>
              <w:jc w:val="righ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90" w:type="dxa"/>
            <w:tcBorders/>
            <w:shd w:fill="CCEEFF" w:val="clear"/>
            <w:tcMar>
              <w:bottom w:w="0" w:type="dxa"/>
            </w:tcMar>
            <w:vAlign w:val="center"/>
          </w:tcPr>
          <w:p>
            <w:pPr>
              <w:pStyle w:val="TableContents"/>
              <w:bidi w:val="0"/>
              <w:spacing w:before="0" w:after="283"/>
              <w:jc w:val="center"/>
              <w:rPr/>
            </w:pPr>
            <w:bookmarkStart w:id="891" w:name="xdx_907_eus-gaap--ShareBasedCompensation"/>
            <w:bookmarkEnd w:id="891"/>
            <w:r>
              <w:rPr/>
              <w:t>100,000 on May 15, 2026; 900,000 in 16 quarterly installments over 4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892" w:name="xdx_98C_eus-gaap--StockIssuedDuringPerio"/>
            <w:bookmarkEnd w:id="892"/>
          </w:p>
        </w:tc>
        <w:tc>
          <w:tcPr>
            <w:tcW w:w="560" w:type="dxa"/>
            <w:tcBorders/>
            <w:shd w:fill="CCEEFF" w:val="clear"/>
            <w:tcMar>
              <w:bottom w:w="0" w:type="dxa"/>
            </w:tcMar>
            <w:vAlign w:val="center"/>
          </w:tcPr>
          <w:p>
            <w:pPr>
              <w:pStyle w:val="TableContents"/>
              <w:bidi w:val="0"/>
              <w:spacing w:before="0" w:after="283"/>
              <w:jc w:val="right"/>
              <w:rPr/>
            </w:pPr>
            <w:r>
              <w:rPr/>
              <w:t>3,210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970" w:type="dxa"/>
            <w:tcBorders/>
            <w:shd w:fill="FFFFFF" w:val="clear"/>
            <w:tcMar>
              <w:bottom w:w="0" w:type="dxa"/>
            </w:tcMar>
            <w:vAlign w:val="center"/>
          </w:tcPr>
          <w:p>
            <w:pPr>
              <w:pStyle w:val="TableContents"/>
              <w:bidi w:val="0"/>
              <w:spacing w:before="0" w:after="283"/>
              <w:jc w:val="center"/>
              <w:rPr/>
            </w:pPr>
            <w:r>
              <w:rPr/>
              <w:t>1/27/2026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4" w:type="dxa"/>
            <w:tcBorders/>
            <w:shd w:fill="FFFFFF" w:val="clear"/>
            <w:tcMar>
              <w:bottom w:w="0" w:type="dxa"/>
            </w:tcMar>
            <w:vAlign w:val="center"/>
          </w:tcPr>
          <w:p>
            <w:pPr>
              <w:pStyle w:val="TableContents"/>
              <w:bidi w:val="0"/>
              <w:spacing w:before="0" w:after="283"/>
              <w:jc w:val="center"/>
              <w:rPr/>
            </w:pPr>
            <w:r>
              <w:rPr/>
              <w:t>Third-party consultant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893" w:name="xdx_982_eus-gaap--ShareBasedCompensation"/>
            <w:bookmarkEnd w:id="893"/>
          </w:p>
        </w:tc>
        <w:tc>
          <w:tcPr>
            <w:tcW w:w="1248" w:type="dxa"/>
            <w:tcBorders/>
            <w:shd w:fill="FFFFFF" w:val="clear"/>
            <w:tcMar>
              <w:bottom w:w="0" w:type="dxa"/>
            </w:tcMar>
            <w:vAlign w:val="center"/>
          </w:tcPr>
          <w:p>
            <w:pPr>
              <w:pStyle w:val="TableContents"/>
              <w:bidi w:val="0"/>
              <w:spacing w:before="0" w:after="283"/>
              <w:jc w:val="right"/>
              <w:rPr/>
            </w:pPr>
            <w:r>
              <w:rPr/>
              <w:t>125,000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90" w:type="dxa"/>
            <w:tcBorders/>
            <w:shd w:fill="FFFFFF" w:val="clear"/>
            <w:tcMar>
              <w:bottom w:w="0" w:type="dxa"/>
            </w:tcMar>
            <w:vAlign w:val="center"/>
          </w:tcPr>
          <w:p>
            <w:pPr>
              <w:pStyle w:val="TableContents"/>
              <w:bidi w:val="0"/>
              <w:spacing w:before="0" w:after="283"/>
              <w:jc w:val="center"/>
              <w:rPr/>
            </w:pPr>
            <w:bookmarkStart w:id="894" w:name="xdx_904_eus-gaap--ShareBasedCompensation"/>
            <w:bookmarkEnd w:id="894"/>
            <w:r>
              <w:rPr/>
              <w:t>16 quarterly installments over 4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895" w:name="xdx_98E_eus-gaap--StockIssuedDuringPerio"/>
            <w:bookmarkEnd w:id="895"/>
          </w:p>
        </w:tc>
        <w:tc>
          <w:tcPr>
            <w:tcW w:w="560" w:type="dxa"/>
            <w:tcBorders/>
            <w:shd w:fill="FFFFFF" w:val="clear"/>
            <w:tcMar>
              <w:bottom w:w="0" w:type="dxa"/>
            </w:tcMar>
            <w:vAlign w:val="center"/>
          </w:tcPr>
          <w:p>
            <w:pPr>
              <w:pStyle w:val="TableContents"/>
              <w:bidi w:val="0"/>
              <w:spacing w:before="0" w:after="283"/>
              <w:jc w:val="right"/>
              <w:rPr/>
            </w:pPr>
            <w:r>
              <w:rPr/>
              <w:t>456</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970" w:type="dxa"/>
            <w:tcBorders/>
            <w:shd w:fill="CCEEFF" w:val="clear"/>
            <w:tcMar>
              <w:bottom w:w="0" w:type="dxa"/>
            </w:tcMar>
            <w:vAlign w:val="center"/>
          </w:tcPr>
          <w:p>
            <w:pPr>
              <w:pStyle w:val="TableContents"/>
              <w:bidi w:val="0"/>
              <w:spacing w:before="0" w:after="283"/>
              <w:jc w:val="center"/>
              <w:rPr/>
            </w:pPr>
            <w:r>
              <w:rPr/>
              <w:t>2/1/2026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4" w:type="dxa"/>
            <w:tcBorders/>
            <w:shd w:fill="CCEEFF" w:val="clear"/>
            <w:tcMar>
              <w:bottom w:w="0" w:type="dxa"/>
            </w:tcMar>
            <w:vAlign w:val="center"/>
          </w:tcPr>
          <w:p>
            <w:pPr>
              <w:pStyle w:val="TableContents"/>
              <w:bidi w:val="0"/>
              <w:spacing w:before="0" w:after="283"/>
              <w:jc w:val="center"/>
              <w:rPr/>
            </w:pPr>
            <w:r>
              <w:rPr/>
              <w:t>Third-party consultant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896" w:name="xdx_98E_eus-gaap--ShareBasedCompensation"/>
            <w:bookmarkEnd w:id="896"/>
          </w:p>
        </w:tc>
        <w:tc>
          <w:tcPr>
            <w:tcW w:w="1248"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90" w:type="dxa"/>
            <w:tcBorders/>
            <w:shd w:fill="CCEEFF" w:val="clear"/>
            <w:tcMar>
              <w:bottom w:w="0" w:type="dxa"/>
            </w:tcMar>
            <w:vAlign w:val="center"/>
          </w:tcPr>
          <w:p>
            <w:pPr>
              <w:pStyle w:val="TableContents"/>
              <w:bidi w:val="0"/>
              <w:spacing w:before="0" w:after="283"/>
              <w:jc w:val="center"/>
              <w:rPr/>
            </w:pPr>
            <w:bookmarkStart w:id="897" w:name="xdx_909_eus-gaap--ShareBasedCompensation"/>
            <w:bookmarkEnd w:id="897"/>
            <w:r>
              <w:rPr/>
              <w:t>300,000 immediately; 200,000 in 4 quarterly installments over 12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898" w:name="xdx_988_eus-gaap--StockIssuedDuringPerio"/>
            <w:bookmarkEnd w:id="898"/>
          </w:p>
        </w:tc>
        <w:tc>
          <w:tcPr>
            <w:tcW w:w="560" w:type="dxa"/>
            <w:tcBorders/>
            <w:shd w:fill="CCEEFF" w:val="clear"/>
            <w:tcMar>
              <w:bottom w:w="0" w:type="dxa"/>
            </w:tcMar>
            <w:vAlign w:val="center"/>
          </w:tcPr>
          <w:p>
            <w:pPr>
              <w:pStyle w:val="TableContents"/>
              <w:bidi w:val="0"/>
              <w:spacing w:before="0" w:after="283"/>
              <w:jc w:val="right"/>
              <w:rPr/>
            </w:pPr>
            <w:r>
              <w:rPr/>
              <w:t>1,790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970" w:type="dxa"/>
            <w:tcBorders/>
            <w:shd w:fill="FFFFFF" w:val="clear"/>
            <w:tcMar>
              <w:bottom w:w="0" w:type="dxa"/>
            </w:tcMar>
            <w:vAlign w:val="center"/>
          </w:tcPr>
          <w:p>
            <w:pPr>
              <w:pStyle w:val="TableContents"/>
              <w:bidi w:val="0"/>
              <w:spacing w:before="0" w:after="283"/>
              <w:jc w:val="center"/>
              <w:rPr/>
            </w:pPr>
            <w:r>
              <w:rPr/>
              <w:t>3/3/2026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4" w:type="dxa"/>
            <w:tcBorders/>
            <w:shd w:fill="FFFFFF" w:val="clear"/>
            <w:tcMar>
              <w:bottom w:w="0" w:type="dxa"/>
            </w:tcMar>
            <w:vAlign w:val="center"/>
          </w:tcPr>
          <w:p>
            <w:pPr>
              <w:pStyle w:val="TableContents"/>
              <w:bidi w:val="0"/>
              <w:spacing w:before="0" w:after="283"/>
              <w:jc w:val="center"/>
              <w:rPr/>
            </w:pPr>
            <w:r>
              <w:rPr/>
              <w:t>Third-party consultant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bookmarkStart w:id="899" w:name="xdx_989_eus-gaap--ShareBasedCompensation"/>
            <w:bookmarkEnd w:id="899"/>
          </w:p>
        </w:tc>
        <w:tc>
          <w:tcPr>
            <w:tcW w:w="1248" w:type="dxa"/>
            <w:tcBorders/>
            <w:shd w:fill="FFFFFF" w:val="clear"/>
            <w:tcMar>
              <w:bottom w:w="0" w:type="dxa"/>
            </w:tcMar>
            <w:vAlign w:val="center"/>
          </w:tcPr>
          <w:p>
            <w:pPr>
              <w:pStyle w:val="TableContents"/>
              <w:bidi w:val="0"/>
              <w:spacing w:before="0" w:after="283"/>
              <w:jc w:val="right"/>
              <w:rPr/>
            </w:pPr>
            <w:r>
              <w:rPr/>
              <w:t>425,000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90" w:type="dxa"/>
            <w:tcBorders/>
            <w:shd w:fill="FFFFFF" w:val="clear"/>
            <w:tcMar>
              <w:bottom w:w="0" w:type="dxa"/>
            </w:tcMar>
            <w:vAlign w:val="center"/>
          </w:tcPr>
          <w:p>
            <w:pPr>
              <w:pStyle w:val="TableContents"/>
              <w:bidi w:val="0"/>
              <w:spacing w:before="0" w:after="283"/>
              <w:jc w:val="center"/>
              <w:rPr/>
            </w:pPr>
            <w:bookmarkStart w:id="900" w:name="xdx_906_eus-gaap--ShareBasedCompensation"/>
            <w:bookmarkEnd w:id="900"/>
            <w:r>
              <w:rPr/>
              <w:t>212,500 immediately; 125,000 on Jun 3; 87,500 on Sep 3,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901" w:name="xdx_98C_eus-gaap--StockIssuedDuringPerio"/>
            <w:bookmarkEnd w:id="901"/>
          </w:p>
        </w:tc>
        <w:tc>
          <w:tcPr>
            <w:tcW w:w="560" w:type="dxa"/>
            <w:tcBorders/>
            <w:shd w:fill="FFFFFF" w:val="clear"/>
            <w:tcMar>
              <w:bottom w:w="0" w:type="dxa"/>
            </w:tcMar>
            <w:vAlign w:val="center"/>
          </w:tcPr>
          <w:p>
            <w:pPr>
              <w:pStyle w:val="TableContents"/>
              <w:bidi w:val="0"/>
              <w:spacing w:before="0" w:after="283"/>
              <w:jc w:val="right"/>
              <w:rPr/>
            </w:pPr>
            <w:r>
              <w:rPr/>
              <w:t>876</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970" w:type="dxa"/>
            <w:tcBorders/>
            <w:shd w:fill="CCEEFF" w:val="clear"/>
            <w:tcMar>
              <w:bottom w:w="0" w:type="dxa"/>
            </w:tcMar>
            <w:vAlign w:val="center"/>
          </w:tcPr>
          <w:p>
            <w:pPr>
              <w:pStyle w:val="TableContents"/>
              <w:bidi w:val="0"/>
              <w:spacing w:before="0" w:after="283"/>
              <w:jc w:val="center"/>
              <w:rPr/>
            </w:pPr>
            <w:r>
              <w:rPr/>
              <w:t>3/16/2026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4" w:type="dxa"/>
            <w:tcBorders/>
            <w:shd w:fill="CCEEFF" w:val="clear"/>
            <w:tcMar>
              <w:bottom w:w="0" w:type="dxa"/>
            </w:tcMar>
            <w:vAlign w:val="center"/>
          </w:tcPr>
          <w:p>
            <w:pPr>
              <w:pStyle w:val="TableContents"/>
              <w:bidi w:val="0"/>
              <w:spacing w:before="0" w:after="283"/>
              <w:jc w:val="center"/>
              <w:rPr/>
            </w:pPr>
            <w:r>
              <w:rPr/>
              <w:t>Third-party consultant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902" w:name="xdx_989_eus-gaap--ShareBasedCompensation"/>
            <w:bookmarkEnd w:id="902"/>
          </w:p>
        </w:tc>
        <w:tc>
          <w:tcPr>
            <w:tcW w:w="1248" w:type="dxa"/>
            <w:tcBorders/>
            <w:shd w:fill="CCEEFF" w:val="clear"/>
            <w:tcMar>
              <w:bottom w:w="0" w:type="dxa"/>
            </w:tcMar>
            <w:vAlign w:val="center"/>
          </w:tcPr>
          <w:p>
            <w:pPr>
              <w:pStyle w:val="TableContents"/>
              <w:bidi w:val="0"/>
              <w:spacing w:before="0" w:after="283"/>
              <w:jc w:val="right"/>
              <w:rPr/>
            </w:pPr>
            <w:r>
              <w:rPr/>
              <w:t>65,000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90" w:type="dxa"/>
            <w:tcBorders/>
            <w:shd w:fill="CCEEFF" w:val="clear"/>
            <w:tcMar>
              <w:bottom w:w="0" w:type="dxa"/>
            </w:tcMar>
            <w:vAlign w:val="center"/>
          </w:tcPr>
          <w:p>
            <w:pPr>
              <w:pStyle w:val="TableContents"/>
              <w:bidi w:val="0"/>
              <w:spacing w:before="0" w:after="283"/>
              <w:jc w:val="center"/>
              <w:rPr/>
            </w:pPr>
            <w:bookmarkStart w:id="903" w:name="xdx_90C_eus-gaap--ShareBasedCompensation"/>
            <w:bookmarkEnd w:id="903"/>
            <w:r>
              <w:rPr/>
              <w:t>5,000 immediately; remainder monthly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904" w:name="xdx_985_eus-gaap--StockIssuedDuringPerio"/>
            <w:bookmarkEnd w:id="904"/>
          </w:p>
        </w:tc>
        <w:tc>
          <w:tcPr>
            <w:tcW w:w="560" w:type="dxa"/>
            <w:tcBorders/>
            <w:shd w:fill="CCEEFF" w:val="clear"/>
            <w:tcMar>
              <w:bottom w:w="0" w:type="dxa"/>
            </w:tcMar>
            <w:vAlign w:val="center"/>
          </w:tcPr>
          <w:p>
            <w:pPr>
              <w:pStyle w:val="TableContents"/>
              <w:bidi w:val="0"/>
              <w:spacing w:before="0" w:after="283"/>
              <w:jc w:val="right"/>
              <w:rPr/>
            </w:pPr>
            <w:r>
              <w:rPr/>
              <w:t>119</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970" w:type="dxa"/>
            <w:tcBorders/>
            <w:shd w:fill="FFFFFF" w:val="clear"/>
            <w:tcMar>
              <w:bottom w:w="0" w:type="dxa"/>
            </w:tcMar>
            <w:vAlign w:val="center"/>
          </w:tcPr>
          <w:p>
            <w:pPr>
              <w:pStyle w:val="TableContents"/>
              <w:bidi w:val="0"/>
              <w:spacing w:before="0" w:after="283"/>
              <w:jc w:val="center"/>
              <w:rPr/>
            </w:pPr>
            <w:r>
              <w:rPr/>
              <w:t>3/16/2026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4" w:type="dxa"/>
            <w:tcBorders/>
            <w:shd w:fill="FFFFFF" w:val="clear"/>
            <w:tcMar>
              <w:bottom w:w="0" w:type="dxa"/>
            </w:tcMar>
            <w:vAlign w:val="center"/>
          </w:tcPr>
          <w:p>
            <w:pPr>
              <w:pStyle w:val="TableContents"/>
              <w:bidi w:val="0"/>
              <w:spacing w:before="0" w:after="283"/>
              <w:jc w:val="center"/>
              <w:rPr/>
            </w:pPr>
            <w:r>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bottom w:val="single" w:sz="8" w:space="0" w:color="000000"/>
            </w:tcBorders>
            <w:shd w:fill="FFFFFF" w:val="clear"/>
            <w:vAlign w:val="center"/>
          </w:tcPr>
          <w:p>
            <w:pPr>
              <w:pStyle w:val="TableContents"/>
              <w:bidi w:val="0"/>
              <w:spacing w:before="0" w:after="283"/>
              <w:jc w:val="left"/>
              <w:rPr/>
            </w:pPr>
            <w:r>
              <w:rPr/>
              <w:t> </w:t>
            </w:r>
            <w:bookmarkStart w:id="905" w:name="xdx_989_eus-gaap--ShareBasedCompensation"/>
            <w:bookmarkEnd w:id="905"/>
          </w:p>
        </w:tc>
        <w:tc>
          <w:tcPr>
            <w:tcW w:w="1248" w:type="dxa"/>
            <w:tcBorders>
              <w:bottom w:val="single" w:sz="8" w:space="0" w:color="000000"/>
            </w:tcBorders>
            <w:shd w:fill="FFFFFF" w:val="cle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90" w:type="dxa"/>
            <w:tcBorders/>
            <w:shd w:fill="FFFFFF" w:val="clear"/>
            <w:tcMar>
              <w:bottom w:w="0" w:type="dxa"/>
            </w:tcMar>
            <w:vAlign w:val="center"/>
          </w:tcPr>
          <w:p>
            <w:pPr>
              <w:pStyle w:val="TableContents"/>
              <w:bidi w:val="0"/>
              <w:spacing w:before="0" w:after="283"/>
              <w:jc w:val="center"/>
              <w:rPr/>
            </w:pPr>
            <w:bookmarkStart w:id="906" w:name="xdx_900_eus-gaap--ShareBasedCompensation"/>
            <w:bookmarkEnd w:id="906"/>
            <w:r>
              <w:rPr/>
              <w:t>16 quarterly installments over 4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bookmarkStart w:id="907" w:name="xdx_98B_eus-gaap--StockIssuedDuringPerio"/>
            <w:bookmarkEnd w:id="907"/>
          </w:p>
        </w:tc>
        <w:tc>
          <w:tcPr>
            <w:tcW w:w="560" w:type="dxa"/>
            <w:tcBorders>
              <w:bottom w:val="single" w:sz="8" w:space="0" w:color="000000"/>
            </w:tcBorders>
            <w:shd w:fill="FFFFFF" w:val="clear"/>
            <w:vAlign w:val="center"/>
          </w:tcPr>
          <w:p>
            <w:pPr>
              <w:pStyle w:val="TableContents"/>
              <w:bidi w:val="0"/>
              <w:spacing w:before="0" w:after="283"/>
              <w:jc w:val="right"/>
              <w:rPr/>
            </w:pPr>
            <w:r>
              <w:rPr/>
              <w:t>915</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97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4"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bookmarkStart w:id="908" w:name="xdx_986_eus-gaap--ShareBasedCompensation"/>
            <w:bookmarkEnd w:id="908"/>
          </w:p>
        </w:tc>
        <w:tc>
          <w:tcPr>
            <w:tcW w:w="1248" w:type="dxa"/>
            <w:tcBorders/>
            <w:shd w:fill="CCEEFF" w:val="clear"/>
            <w:tcMar>
              <w:bottom w:w="0" w:type="dxa"/>
            </w:tcMar>
            <w:vAlign w:val="center"/>
          </w:tcPr>
          <w:p>
            <w:pPr>
              <w:pStyle w:val="TableContents"/>
              <w:bidi w:val="0"/>
              <w:spacing w:before="0" w:after="283"/>
              <w:jc w:val="right"/>
              <w:rPr/>
            </w:pPr>
            <w:r>
              <w:rPr/>
              <w:t>2,965,000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909" w:name="xdx_98E_eus-gaap--StockIssuedDuringPerio"/>
            <w:bookmarkEnd w:id="909"/>
          </w:p>
        </w:tc>
        <w:tc>
          <w:tcPr>
            <w:tcW w:w="560" w:type="dxa"/>
            <w:tcBorders/>
            <w:shd w:fill="CCEEFF" w:val="clear"/>
            <w:tcMar>
              <w:bottom w:w="0" w:type="dxa"/>
            </w:tcMar>
            <w:vAlign w:val="center"/>
          </w:tcPr>
          <w:p>
            <w:pPr>
              <w:pStyle w:val="TableContents"/>
              <w:bidi w:val="0"/>
              <w:spacing w:before="0" w:after="283"/>
              <w:jc w:val="right"/>
              <w:rPr/>
            </w:pPr>
            <w:r>
              <w:rPr/>
              <w:t>8,445</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838" w:type="dxa"/>
        <w:jc w:val="left"/>
        <w:tblInd w:w="0" w:type="dxa"/>
        <w:tblLayout w:type="fixed"/>
        <w:tblCellMar>
          <w:top w:w="0" w:type="dxa"/>
          <w:left w:w="0" w:type="dxa"/>
          <w:bottom w:w="0" w:type="dxa"/>
          <w:right w:w="0" w:type="dxa"/>
        </w:tblCellMar>
      </w:tblPr>
      <w:tblGrid>
        <w:gridCol w:w="38"/>
        <w:gridCol w:w="245"/>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10" w:name="xdx_F01_zRi3NOrbf3bh"/>
            <w:bookmarkEnd w:id="910"/>
            <w:r>
              <w:rPr>
                <w:rFonts w:ascii="Times New Roman;Times;Serif" w:hAnsi="Times New Roman;Times;Serif"/>
                <w:b w:val="false"/>
                <w:i w:val="false"/>
                <w:caps w:val="false"/>
                <w:smallCaps w:val="false"/>
                <w:sz w:val="20"/>
              </w:rPr>
              <w:t>(1)</w:t>
            </w:r>
          </w:p>
        </w:tc>
        <w:tc>
          <w:tcPr>
            <w:tcW w:w="2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11" w:name="xdx_F1D_z7OXGZj1wa3d"/>
            <w:bookmarkEnd w:id="911"/>
            <w:r>
              <w:rPr>
                <w:rFonts w:ascii="Times New Roman;Times;Serif" w:hAnsi="Times New Roman;Times;Serif"/>
                <w:b w:val="false"/>
                <w:i w:val="false"/>
                <w:caps w:val="false"/>
                <w:smallCaps w:val="false"/>
                <w:sz w:val="20"/>
              </w:rPr>
              <w:t>Grant-date fair value (“GDFV”)</w:t>
            </w:r>
          </w:p>
        </w:tc>
      </w:tr>
    </w:tbl>
    <w:p>
      <w:pPr>
        <w:pStyle w:val="TextBody"/>
        <w:bidi w:val="0"/>
        <w:spacing w:before="0" w:after="283"/>
        <w:jc w:val="left"/>
        <w:rPr/>
      </w:pPr>
      <w:r>
        <w:rPr/>
        <w:t> </w:t>
      </w:r>
    </w:p>
    <w:p>
      <w:pPr>
        <w:pStyle w:val="TextBody"/>
        <w:bidi w:val="0"/>
        <w:jc w:val="both"/>
        <w:rPr/>
      </w:pPr>
      <w:r>
        <w:rPr/>
        <w:t xml:space="preserve">The table above includes only RSU grants issued during the three months ended March 31, 2026 that were subject to vesting conditions extending beyond the grant date. During the same period, the Company also granted an aggregate of </w:t>
      </w:r>
      <w:bookmarkStart w:id="912" w:name="xdx_901_eus-gaap--ShareBasedCompensation"/>
      <w:bookmarkEnd w:id="912"/>
      <w:r>
        <w:rPr/>
        <w:t xml:space="preserve">5,903,316 RSUs that vested immediately upon grant and are therefore excluded from this table. The total RSUs granted during the three months ended March 31, 2026 were </w:t>
      </w:r>
      <w:bookmarkStart w:id="913" w:name="xdx_90A_eus-gaap--ShareBasedCompensation"/>
      <w:bookmarkEnd w:id="913"/>
      <w:r>
        <w:rPr/>
        <w:t>8,868,316, as reflected in the RSU activity table above.</w:t>
      </w:r>
    </w:p>
    <w:p>
      <w:pPr>
        <w:pStyle w:val="TextBody"/>
        <w:bidi w:val="0"/>
        <w:spacing w:before="0" w:after="0"/>
        <w:ind w:left="0" w:right="0" w:hanging="0"/>
        <w:jc w:val="both"/>
        <w:rPr>
          <w:caps w:val="false"/>
          <w:smallCaps w:val="false"/>
        </w:rPr>
      </w:pPr>
      <w:bookmarkStart w:id="914" w:name="xdx_8A6_z7TEDIowymee"/>
      <w:bookmarkEnd w:id="91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Performance-Based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granted performance-vesting restricted stock units (“PSUs”) to certain consultants. The PSUs represent the right to receive shares of the Company’s common stock upon the achievement of specified performance conditions or market conditions, and satisfaction of service requirements, subject to certification by the Company’s Board of Directors or its Compensation Committee (the “Committee”). The PSUs are equity-classified awards and settle solely in shares of the Company’s common stock. No cash settlement alternative exists.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Price-Based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 2026, the Company granted </w:t>
      </w:r>
      <w:bookmarkStart w:id="915" w:name="xdx_90C_eus-gaap--ShareBasedCompensation"/>
      <w:bookmarkEnd w:id="915"/>
      <w:r>
        <w:rPr>
          <w:rFonts w:ascii="Times New Roman;Times;Serif" w:hAnsi="Times New Roman;Times;Serif"/>
          <w:b w:val="false"/>
          <w:i w:val="false"/>
          <w:caps w:val="false"/>
          <w:smallCaps w:val="false"/>
          <w:sz w:val="20"/>
        </w:rPr>
        <w:t xml:space="preserve">500,000 PSUs to a third-party consultant, under a consulting agreement effective February 1, 2026. The PSUs vest in five tranches upon the achievement of specified stock price milestones, measured by the closing price of the Company’s common stock on a U.S. national securities exchange, as follows: </w:t>
      </w:r>
      <w:bookmarkStart w:id="916" w:name="xdx_901_eus-gaap--ShareBasedCompensation"/>
      <w:bookmarkEnd w:id="916"/>
      <w:r>
        <w:rPr>
          <w:rFonts w:ascii="Times New Roman;Times;Serif" w:hAnsi="Times New Roman;Times;Serif"/>
          <w:b w:val="false"/>
          <w:i w:val="false"/>
          <w:caps w:val="false"/>
          <w:smallCaps w:val="false"/>
          <w:sz w:val="20"/>
        </w:rPr>
        <w:t>100,000 shares at $</w:t>
      </w:r>
      <w:bookmarkStart w:id="917" w:name="xdx_90E_eus-gaap--SharePrice_iI_c2026020"/>
      <w:bookmarkEnd w:id="917"/>
      <w:r>
        <w:rPr>
          <w:rFonts w:ascii="Times New Roman;Times;Serif" w:hAnsi="Times New Roman;Times;Serif"/>
          <w:b w:val="false"/>
          <w:i w:val="false"/>
          <w:caps w:val="false"/>
          <w:smallCaps w:val="false"/>
          <w:sz w:val="20"/>
        </w:rPr>
        <w:t xml:space="preserve">5.00; </w:t>
      </w:r>
      <w:bookmarkStart w:id="918" w:name="xdx_90E_eus-gaap--ShareBasedCompensation"/>
      <w:bookmarkEnd w:id="918"/>
      <w:r>
        <w:rPr>
          <w:rFonts w:ascii="Times New Roman;Times;Serif" w:hAnsi="Times New Roman;Times;Serif"/>
          <w:b w:val="false"/>
          <w:i w:val="false"/>
          <w:caps w:val="false"/>
          <w:smallCaps w:val="false"/>
          <w:sz w:val="20"/>
        </w:rPr>
        <w:t>100,000 shares at $</w:t>
      </w:r>
      <w:bookmarkStart w:id="919" w:name="xdx_900_eus-gaap--SharePrice_iI_c2026020"/>
      <w:bookmarkEnd w:id="919"/>
      <w:r>
        <w:rPr>
          <w:rFonts w:ascii="Times New Roman;Times;Serif" w:hAnsi="Times New Roman;Times;Serif"/>
          <w:b w:val="false"/>
          <w:i w:val="false"/>
          <w:caps w:val="false"/>
          <w:smallCaps w:val="false"/>
          <w:sz w:val="20"/>
        </w:rPr>
        <w:t xml:space="preserve">6.00; </w:t>
      </w:r>
      <w:bookmarkStart w:id="920" w:name="xdx_90F_eus-gaap--ShareBasedCompensation"/>
      <w:bookmarkEnd w:id="920"/>
      <w:r>
        <w:rPr>
          <w:rFonts w:ascii="Times New Roman;Times;Serif" w:hAnsi="Times New Roman;Times;Serif"/>
          <w:b w:val="false"/>
          <w:i w:val="false"/>
          <w:caps w:val="false"/>
          <w:smallCaps w:val="false"/>
          <w:sz w:val="20"/>
        </w:rPr>
        <w:t>100,000 shares at $</w:t>
      </w:r>
      <w:bookmarkStart w:id="921" w:name="xdx_902_eus-gaap--SharePrice_iI_c2026020"/>
      <w:bookmarkEnd w:id="921"/>
      <w:r>
        <w:rPr>
          <w:rFonts w:ascii="Times New Roman;Times;Serif" w:hAnsi="Times New Roman;Times;Serif"/>
          <w:b w:val="false"/>
          <w:i w:val="false"/>
          <w:caps w:val="false"/>
          <w:smallCaps w:val="false"/>
          <w:sz w:val="20"/>
        </w:rPr>
        <w:t xml:space="preserve">8.00; </w:t>
      </w:r>
      <w:bookmarkStart w:id="922" w:name="xdx_904_eus-gaap--ShareBasedCompensation"/>
      <w:bookmarkEnd w:id="922"/>
      <w:r>
        <w:rPr>
          <w:rFonts w:ascii="Times New Roman;Times;Serif" w:hAnsi="Times New Roman;Times;Serif"/>
          <w:b w:val="false"/>
          <w:i w:val="false"/>
          <w:caps w:val="false"/>
          <w:smallCaps w:val="false"/>
          <w:sz w:val="20"/>
        </w:rPr>
        <w:t>100,000 shares at $</w:t>
      </w:r>
      <w:bookmarkStart w:id="923" w:name="xdx_90E_eus-gaap--SharePrice_iI_c2026020"/>
      <w:bookmarkEnd w:id="923"/>
      <w:r>
        <w:rPr>
          <w:rFonts w:ascii="Times New Roman;Times;Serif" w:hAnsi="Times New Roman;Times;Serif"/>
          <w:b w:val="false"/>
          <w:i w:val="false"/>
          <w:caps w:val="false"/>
          <w:smallCaps w:val="false"/>
          <w:sz w:val="20"/>
        </w:rPr>
        <w:t xml:space="preserve">10.00; and </w:t>
      </w:r>
      <w:bookmarkStart w:id="924" w:name="xdx_901_eus-gaap--ShareBasedCompensation"/>
      <w:bookmarkEnd w:id="924"/>
      <w:r>
        <w:rPr>
          <w:rFonts w:ascii="Times New Roman;Times;Serif" w:hAnsi="Times New Roman;Times;Serif"/>
          <w:b w:val="false"/>
          <w:i w:val="false"/>
          <w:caps w:val="false"/>
          <w:smallCaps w:val="false"/>
          <w:sz w:val="20"/>
        </w:rPr>
        <w:t>100,000 shares at $</w:t>
      </w:r>
      <w:bookmarkStart w:id="925" w:name="xdx_90A_eus-gaap--SharePrice_iI_c2026020"/>
      <w:bookmarkEnd w:id="925"/>
      <w:r>
        <w:rPr>
          <w:rFonts w:ascii="Times New Roman;Times;Serif" w:hAnsi="Times New Roman;Times;Serif"/>
          <w:b w:val="false"/>
          <w:i w:val="false"/>
          <w:caps w:val="false"/>
          <w:smallCaps w:val="false"/>
          <w:sz w:val="20"/>
        </w:rPr>
        <w:t>12.00. Each milestone is certified by the Committee in good faith, and the consultant must be providing continuous service through the certification date. All unvested PSUs are forfeited immediately upon cessation of service. The stock price milestones and shares issuable per tranche are subject to equitable adjustment for stock splits, reverse stock splits, and similar events under the Company’s 2023 Long-Term Incentive Plan.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price targets represent market conditions because they relate to the achievement of specified stock prices of the Company’s equity instruments. In accordance with ASC 718, the effect of the market conditions is reflected in the estimate of the grant-date fair value of the awards. The Company estimated the grant-date fair value of each tranche using a Monte Carlo simulation model, which incorporated the following significant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26" w:name="xdx_8B0_z9d8tY6mplCj"/>
      <w:bookmarkStart w:id="927" w:name="xdx_899_eus-gaap--ShareBasedCompensation"/>
      <w:bookmarkEnd w:id="926"/>
      <w:bookmarkEnd w:id="927"/>
      <w:r>
        <w:rPr>
          <w:rFonts w:ascii="Times New Roman;Times;Serif" w:hAnsi="Times New Roman;Times;Serif"/>
          <w:b w:val="false"/>
          <w:i w:val="false"/>
          <w:caps w:val="false"/>
          <w:smallCaps w:val="false"/>
          <w:sz w:val="20"/>
        </w:rPr>
        <w:t>SCHEDULE OF ESTIMATED GRANT DATE FAIR VALUE</w:t>
      </w:r>
    </w:p>
    <w:tbl>
      <w:tblPr>
        <w:tblW w:w="4600" w:type="dxa"/>
        <w:jc w:val="left"/>
        <w:tblInd w:w="0" w:type="dxa"/>
        <w:tblLayout w:type="fixed"/>
        <w:tblCellMar>
          <w:top w:w="0" w:type="dxa"/>
          <w:left w:w="0" w:type="dxa"/>
          <w:bottom w:w="28" w:type="dxa"/>
          <w:right w:w="0" w:type="dxa"/>
        </w:tblCellMar>
      </w:tblPr>
      <w:tblGrid>
        <w:gridCol w:w="3005"/>
        <w:gridCol w:w="60"/>
        <w:gridCol w:w="60"/>
        <w:gridCol w:w="1400"/>
        <w:gridCol w:w="75"/>
      </w:tblGrid>
      <w:tr>
        <w:trPr/>
        <w:tc>
          <w:tcPr>
            <w:tcW w:w="3005" w:type="dxa"/>
            <w:tcBorders>
              <w:bottom w:val="single" w:sz="8" w:space="0" w:color="000000"/>
            </w:tcBorders>
            <w:vAlign w:val="center"/>
          </w:tcPr>
          <w:p>
            <w:pPr>
              <w:pStyle w:val="TableContents"/>
              <w:bidi w:val="0"/>
              <w:spacing w:before="0" w:after="283"/>
              <w:jc w:val="center"/>
              <w:rPr>
                <w:b/>
              </w:rPr>
            </w:pPr>
            <w:r>
              <w:rPr>
                <w:b/>
              </w:rPr>
              <w:t>Assumption</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8" w:space="0" w:color="000000"/>
            </w:tcBorders>
            <w:vAlign w:val="center"/>
          </w:tcPr>
          <w:p>
            <w:pPr>
              <w:pStyle w:val="TableContents"/>
              <w:bidi w:val="0"/>
              <w:spacing w:before="0" w:after="283"/>
              <w:jc w:val="center"/>
              <w:rPr>
                <w:b/>
              </w:rPr>
            </w:pPr>
            <w:r>
              <w:rPr>
                <w:b/>
              </w:rPr>
              <w:t>Value</w:t>
            </w:r>
          </w:p>
        </w:tc>
        <w:tc>
          <w:tcPr>
            <w:tcW w:w="75" w:type="dxa"/>
            <w:tcBorders/>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both"/>
              <w:rPr/>
            </w:pPr>
            <w:r>
              <w:rPr/>
              <w:t>Grant-date 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400" w:type="dxa"/>
            <w:tcBorders/>
            <w:shd w:fill="CCEEFF" w:val="clear"/>
            <w:tcMar>
              <w:bottom w:w="0" w:type="dxa"/>
            </w:tcMar>
            <w:vAlign w:val="center"/>
          </w:tcPr>
          <w:p>
            <w:pPr>
              <w:pStyle w:val="TableContents"/>
              <w:bidi w:val="0"/>
              <w:spacing w:before="0" w:after="283"/>
              <w:jc w:val="center"/>
              <w:rPr/>
            </w:pPr>
            <w:r>
              <w:rPr/>
              <w:t>$</w:t>
            </w:r>
            <w:bookmarkStart w:id="928" w:name="xdx_907_ecustom--GrantedSharePrice_iI_pi"/>
            <w:bookmarkEnd w:id="928"/>
            <w:r>
              <w:rPr/>
              <w:t>3.58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both"/>
              <w:rPr/>
            </w:pPr>
            <w:r>
              <w:rPr/>
              <w:t>Stock price milestones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bookmarkStart w:id="929" w:name="xdx_900_eus-gaap--SharePrice_iI_dtY_c202"/>
            <w:bookmarkEnd w:id="929"/>
            <w:r>
              <w:rPr>
                <w:rFonts w:ascii="Times New Roman;Times;Serif" w:hAnsi="Times New Roman;Times;Serif"/>
                <w:sz w:val="20"/>
              </w:rPr>
              <w:t>5.00 – $</w:t>
            </w:r>
            <w:bookmarkStart w:id="930" w:name="xdx_901_eus-gaap--SharePrice_iI_c2026033"/>
            <w:bookmarkEnd w:id="930"/>
            <w:r>
              <w:rPr>
                <w:rFonts w:ascii="Times New Roman;Times;Serif" w:hAnsi="Times New Roman;Times;Serif"/>
                <w:sz w:val="20"/>
              </w:rPr>
              <w:t>12.00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both"/>
              <w:rPr/>
            </w:pPr>
            <w:r>
              <w:rPr/>
              <w:t>Expected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931" w:name="xdx_98D_eus-gaap--ShareBasedCompensation"/>
            <w:bookmarkEnd w:id="931"/>
          </w:p>
        </w:tc>
        <w:tc>
          <w:tcPr>
            <w:tcW w:w="1400" w:type="dxa"/>
            <w:tcBorders/>
            <w:shd w:fill="CCEEFF" w:val="clear"/>
            <w:tcMar>
              <w:bottom w:w="0" w:type="dxa"/>
            </w:tcMar>
            <w:vAlign w:val="center"/>
          </w:tcPr>
          <w:p>
            <w:pPr>
              <w:pStyle w:val="TableContents"/>
              <w:bidi w:val="0"/>
              <w:spacing w:before="0" w:after="283"/>
              <w:jc w:val="center"/>
              <w:rPr/>
            </w:pPr>
            <w:r>
              <w:rPr/>
              <w:t>152.9%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both"/>
              <w:rPr/>
            </w:pPr>
            <w:r>
              <w:rPr/>
              <w:t>Risk-free interest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932" w:name="xdx_985_eus-gaap--ShareBasedCompensation"/>
            <w:bookmarkEnd w:id="932"/>
          </w:p>
        </w:tc>
        <w:tc>
          <w:tcPr>
            <w:tcW w:w="1400" w:type="dxa"/>
            <w:tcBorders/>
            <w:shd w:fill="FFFFFF" w:val="clear"/>
            <w:tcMar>
              <w:bottom w:w="0" w:type="dxa"/>
            </w:tcMar>
            <w:vAlign w:val="center"/>
          </w:tcPr>
          <w:p>
            <w:pPr>
              <w:pStyle w:val="TableContents"/>
              <w:bidi w:val="0"/>
              <w:spacing w:before="0" w:after="283"/>
              <w:jc w:val="center"/>
              <w:rPr/>
            </w:pPr>
            <w:r>
              <w:rPr/>
              <w:t>3.72%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both"/>
              <w:rPr/>
            </w:pPr>
            <w:r>
              <w:rPr/>
              <w:t>Expected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933" w:name="xdx_984_eus-gaap--ShareBasedCompensation"/>
            <w:bookmarkEnd w:id="933"/>
          </w:p>
        </w:tc>
        <w:tc>
          <w:tcPr>
            <w:tcW w:w="1400" w:type="dxa"/>
            <w:tcBorders/>
            <w:shd w:fill="CCEEFF" w:val="clear"/>
            <w:tcMar>
              <w:bottom w:w="0" w:type="dxa"/>
            </w:tcMar>
            <w:vAlign w:val="center"/>
          </w:tcPr>
          <w:p>
            <w:pPr>
              <w:pStyle w:val="TableContents"/>
              <w:bidi w:val="0"/>
              <w:spacing w:before="0" w:after="283"/>
              <w:jc w:val="center"/>
              <w:rPr/>
            </w:pPr>
            <w:r>
              <w:rPr/>
              <w:t>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both"/>
              <w:rPr/>
            </w:pPr>
            <w:r>
              <w:rPr/>
              <w:t>Derived service periods (range)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934" w:name="xdx_907_eus-gaap--SharebasedCompensation"/>
            <w:bookmarkEnd w:id="934"/>
            <w:r>
              <w:rPr>
                <w:rFonts w:ascii="Times New Roman;Times;Serif" w:hAnsi="Times New Roman;Times;Serif"/>
                <w:sz w:val="20"/>
              </w:rPr>
              <w:t xml:space="preserve">3.43 – </w:t>
            </w:r>
            <w:bookmarkStart w:id="935" w:name="xdx_90E_eus-gaap--SharebasedCompensation"/>
            <w:bookmarkEnd w:id="935"/>
            <w:r>
              <w:rPr>
                <w:rFonts w:ascii="Times New Roman;Times;Serif" w:hAnsi="Times New Roman;Times;Serif"/>
                <w:sz w:val="20"/>
              </w:rPr>
              <w:t>7.41 years</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36" w:name="xdx_8AA_zRWwgEeGrKRa"/>
      <w:bookmarkEnd w:id="93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grant-date fair value by tranche (in thousands, except per unit data and units):</w:t>
      </w:r>
    </w:p>
    <w:p>
      <w:pPr>
        <w:pStyle w:val="TextBody"/>
        <w:bidi w:val="0"/>
        <w:spacing w:before="0" w:after="0"/>
        <w:ind w:left="0" w:right="0" w:hanging="0"/>
        <w:jc w:val="both"/>
        <w:rPr>
          <w:caps w:val="false"/>
          <w:smallCaps w:val="false"/>
        </w:rPr>
      </w:pPr>
      <w:r>
        <w:rPr>
          <w:caps w:val="false"/>
          <w:smallCaps w:val="false"/>
        </w:rPr>
        <w:t> </w:t>
      </w:r>
    </w:p>
    <w:tbl>
      <w:tblPr>
        <w:tblW w:w="7997" w:type="dxa"/>
        <w:jc w:val="left"/>
        <w:tblInd w:w="0" w:type="dxa"/>
        <w:tblLayout w:type="fixed"/>
        <w:tblCellMar>
          <w:top w:w="0" w:type="dxa"/>
          <w:left w:w="0" w:type="dxa"/>
          <w:bottom w:w="28" w:type="dxa"/>
          <w:right w:w="0" w:type="dxa"/>
        </w:tblCellMar>
      </w:tblPr>
      <w:tblGrid>
        <w:gridCol w:w="905"/>
        <w:gridCol w:w="60"/>
        <w:gridCol w:w="199"/>
        <w:gridCol w:w="796"/>
        <w:gridCol w:w="60"/>
        <w:gridCol w:w="60"/>
        <w:gridCol w:w="257"/>
        <w:gridCol w:w="812"/>
        <w:gridCol w:w="60"/>
        <w:gridCol w:w="60"/>
        <w:gridCol w:w="60"/>
        <w:gridCol w:w="800"/>
        <w:gridCol w:w="60"/>
        <w:gridCol w:w="60"/>
        <w:gridCol w:w="151"/>
        <w:gridCol w:w="604"/>
        <w:gridCol w:w="60"/>
        <w:gridCol w:w="60"/>
        <w:gridCol w:w="108"/>
        <w:gridCol w:w="796"/>
        <w:gridCol w:w="60"/>
        <w:gridCol w:w="60"/>
        <w:gridCol w:w="620"/>
        <w:gridCol w:w="1154"/>
        <w:gridCol w:w="75"/>
      </w:tblGrid>
      <w:tr>
        <w:trPr/>
        <w:tc>
          <w:tcPr>
            <w:tcW w:w="905" w:type="dxa"/>
            <w:tcBorders>
              <w:bottom w:val="single" w:sz="8" w:space="0" w:color="000000"/>
            </w:tcBorders>
            <w:vAlign w:val="center"/>
          </w:tcPr>
          <w:p>
            <w:pPr>
              <w:pStyle w:val="TableContents"/>
              <w:bidi w:val="0"/>
              <w:spacing w:before="0" w:after="283"/>
              <w:jc w:val="center"/>
              <w:rPr>
                <w:b/>
              </w:rPr>
            </w:pPr>
            <w:r>
              <w:rPr>
                <w:b/>
              </w:rPr>
              <w:t>Tranche</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Milestone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GDFV</w:t>
            </w:r>
            <w:r>
              <w:rPr>
                <w:rFonts w:ascii="Times New Roman;Times;Serif" w:hAnsi="Times New Roman;Times;Serif"/>
                <w:b/>
                <w:position w:val="7"/>
                <w:sz w:val="16"/>
                <w:sz w:val="20"/>
              </w:rPr>
              <w:t>1</w:t>
            </w:r>
            <w:r>
              <w:rPr>
                <w:rFonts w:ascii="Times New Roman;Times;Serif" w:hAnsi="Times New Roman;Times;Serif"/>
                <w:b/>
                <w:sz w:val="20"/>
              </w:rPr>
              <w:t>/Unit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Units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 FV</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DSP</w:t>
            </w:r>
            <w:r>
              <w:rPr>
                <w:rFonts w:ascii="Times New Roman;Times;Serif" w:hAnsi="Times New Roman;Times;Serif"/>
                <w:b/>
                <w:position w:val="7"/>
                <w:sz w:val="16"/>
                <w:sz w:val="20"/>
              </w:rPr>
              <w:t>3</w:t>
            </w:r>
            <w:r>
              <w:rPr>
                <w:rFonts w:ascii="Times New Roman;Times;Serif" w:hAnsi="Times New Roman;Times;Serif"/>
                <w:b/>
                <w:sz w:val="20"/>
              </w:rPr>
              <w:t xml:space="preserve"> (yrs)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4" w:type="dxa"/>
            <w:gridSpan w:val="2"/>
            <w:tcBorders>
              <w:bottom w:val="single" w:sz="8" w:space="0" w:color="000000"/>
            </w:tcBorders>
            <w:vAlign w:val="center"/>
          </w:tcPr>
          <w:p>
            <w:pPr>
              <w:pStyle w:val="TableContents"/>
              <w:bidi w:val="0"/>
              <w:spacing w:before="0" w:after="283"/>
              <w:jc w:val="center"/>
              <w:rPr>
                <w:b/>
              </w:rPr>
            </w:pPr>
            <w:r>
              <w:rPr>
                <w:b/>
              </w:rPr>
              <w:t>Q1 2026 Expense</w:t>
            </w:r>
          </w:p>
        </w:tc>
        <w:tc>
          <w:tcPr>
            <w:tcW w:w="75" w:type="dxa"/>
            <w:tcBorders/>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283"/>
              <w:jc w:val="center"/>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bookmarkStart w:id="937" w:name="xdx_980_eus-gaap--ShareBasedCompensation"/>
            <w:bookmarkEnd w:id="937"/>
          </w:p>
        </w:tc>
        <w:tc>
          <w:tcPr>
            <w:tcW w:w="796" w:type="dxa"/>
            <w:tcBorders/>
            <w:shd w:fill="CCEEFF" w:val="clear"/>
            <w:tcMar>
              <w:bottom w:w="0" w:type="dxa"/>
            </w:tcMar>
            <w:vAlign w:val="center"/>
          </w:tcPr>
          <w:p>
            <w:pPr>
              <w:pStyle w:val="TableContents"/>
              <w:bidi w:val="0"/>
              <w:spacing w:before="0" w:after="283"/>
              <w:jc w:val="right"/>
              <w:rPr/>
            </w:pPr>
            <w:r>
              <w:rPr/>
              <w:t>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bookmarkStart w:id="938" w:name="xdx_98E_eus-gaap--ShareBasedCompensation"/>
            <w:bookmarkEnd w:id="938"/>
          </w:p>
        </w:tc>
        <w:tc>
          <w:tcPr>
            <w:tcW w:w="812" w:type="dxa"/>
            <w:tcBorders/>
            <w:shd w:fill="CCEEFF" w:val="clear"/>
            <w:tcMar>
              <w:bottom w:w="0" w:type="dxa"/>
            </w:tcMar>
            <w:vAlign w:val="center"/>
          </w:tcPr>
          <w:p>
            <w:pPr>
              <w:pStyle w:val="TableContents"/>
              <w:bidi w:val="0"/>
              <w:spacing w:before="0" w:after="283"/>
              <w:jc w:val="right"/>
              <w:rPr/>
            </w:pPr>
            <w:r>
              <w:rPr/>
              <w:t>3.56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939" w:name="xdx_983_eus-gaap--ShareBasedCompensation"/>
            <w:bookmarkEnd w:id="939"/>
          </w:p>
        </w:tc>
        <w:tc>
          <w:tcPr>
            <w:tcW w:w="800" w:type="dxa"/>
            <w:tcBorders/>
            <w:shd w:fill="CCEEFF" w:val="clear"/>
            <w:tcMar>
              <w:bottom w:w="0" w:type="dxa"/>
            </w:tcMar>
            <w:vAlign w:val="center"/>
          </w:tcPr>
          <w:p>
            <w:pPr>
              <w:pStyle w:val="TableContents"/>
              <w:bidi w:val="0"/>
              <w:spacing w:before="0" w:after="283"/>
              <w:jc w:val="right"/>
              <w:rPr/>
            </w:pPr>
            <w:r>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w:t>
            </w:r>
            <w:bookmarkStart w:id="940" w:name="xdx_987_eus-gaap--ShareBasedCompensation"/>
            <w:bookmarkEnd w:id="940"/>
          </w:p>
        </w:tc>
        <w:tc>
          <w:tcPr>
            <w:tcW w:w="604" w:type="dxa"/>
            <w:tcBorders/>
            <w:shd w:fill="CCEEFF" w:val="clear"/>
            <w:tcMar>
              <w:bottom w:w="0" w:type="dxa"/>
            </w:tcMar>
            <w:vAlign w:val="center"/>
          </w:tcPr>
          <w:p>
            <w:pPr>
              <w:pStyle w:val="TableContents"/>
              <w:bidi w:val="0"/>
              <w:spacing w:before="0" w:after="283"/>
              <w:jc w:val="right"/>
              <w:rPr/>
            </w:pPr>
            <w:r>
              <w:rPr/>
              <w:t>356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bookmarkStart w:id="941" w:name="xdx_981_eus-gaap--ShareBasedCompensation"/>
            <w:bookmarkEnd w:id="941"/>
          </w:p>
        </w:tc>
        <w:tc>
          <w:tcPr>
            <w:tcW w:w="796" w:type="dxa"/>
            <w:tcBorders/>
            <w:shd w:fill="CCEEFF" w:val="clear"/>
            <w:tcMar>
              <w:bottom w:w="0" w:type="dxa"/>
            </w:tcMar>
            <w:vAlign w:val="center"/>
          </w:tcPr>
          <w:p>
            <w:pPr>
              <w:pStyle w:val="TableContents"/>
              <w:bidi w:val="0"/>
              <w:spacing w:before="0" w:after="283"/>
              <w:jc w:val="right"/>
              <w:rPr/>
            </w:pPr>
            <w:r>
              <w:rPr/>
              <w:t>3.43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left"/>
              <w:rPr/>
            </w:pPr>
            <w:r>
              <w:rPr/>
              <w:t>$</w:t>
            </w:r>
            <w:bookmarkStart w:id="942" w:name="xdx_983_eus-gaap--ShareBasedCompensation"/>
            <w:bookmarkEnd w:id="942"/>
          </w:p>
        </w:tc>
        <w:tc>
          <w:tcPr>
            <w:tcW w:w="1154" w:type="dxa"/>
            <w:tcBorders/>
            <w:shd w:fill="CCEEFF" w:val="clear"/>
            <w:tcMar>
              <w:bottom w:w="0" w:type="dxa"/>
            </w:tcMar>
            <w:vAlign w:val="center"/>
          </w:tcPr>
          <w:p>
            <w:pPr>
              <w:pStyle w:val="TableContents"/>
              <w:bidi w:val="0"/>
              <w:spacing w:before="0" w:after="283"/>
              <w:jc w:val="right"/>
              <w:rPr/>
            </w:pPr>
            <w:r>
              <w:rPr/>
              <w:t>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05" w:type="dxa"/>
            <w:tcBorders/>
            <w:shd w:fill="FFFFFF" w:val="clear"/>
            <w:tcMar>
              <w:bottom w:w="0" w:type="dxa"/>
            </w:tcMar>
            <w:vAlign w:val="center"/>
          </w:tcPr>
          <w:p>
            <w:pPr>
              <w:pStyle w:val="TableContents"/>
              <w:bidi w:val="0"/>
              <w:spacing w:before="0" w:after="283"/>
              <w:jc w:val="center"/>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w:t>
            </w:r>
            <w:bookmarkStart w:id="943" w:name="xdx_988_eus-gaap--ShareBasedCompensation"/>
            <w:bookmarkEnd w:id="943"/>
          </w:p>
        </w:tc>
        <w:tc>
          <w:tcPr>
            <w:tcW w:w="796" w:type="dxa"/>
            <w:tcBorders/>
            <w:shd w:fill="FFFFFF" w:val="clear"/>
            <w:tcMar>
              <w:bottom w:w="0" w:type="dxa"/>
            </w:tcMar>
            <w:vAlign w:val="center"/>
          </w:tcPr>
          <w:p>
            <w:pPr>
              <w:pStyle w:val="TableContents"/>
              <w:bidi w:val="0"/>
              <w:spacing w:before="0" w:after="283"/>
              <w:jc w:val="right"/>
              <w:rPr/>
            </w:pPr>
            <w:r>
              <w:rPr/>
              <w:t>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w:t>
            </w:r>
            <w:bookmarkStart w:id="944" w:name="xdx_98E_eus-gaap--ShareBasedCompensation"/>
            <w:bookmarkEnd w:id="944"/>
          </w:p>
        </w:tc>
        <w:tc>
          <w:tcPr>
            <w:tcW w:w="812" w:type="dxa"/>
            <w:tcBorders/>
            <w:shd w:fill="FFFFFF" w:val="clear"/>
            <w:tcMar>
              <w:bottom w:w="0" w:type="dxa"/>
            </w:tcMar>
            <w:vAlign w:val="center"/>
          </w:tcPr>
          <w:p>
            <w:pPr>
              <w:pStyle w:val="TableContents"/>
              <w:bidi w:val="0"/>
              <w:spacing w:before="0" w:after="283"/>
              <w:jc w:val="right"/>
              <w:rPr/>
            </w:pPr>
            <w:r>
              <w:rPr/>
              <w:t>3.55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945" w:name="xdx_986_eus-gaap--ShareBasedCompensation"/>
            <w:bookmarkEnd w:id="945"/>
          </w:p>
        </w:tc>
        <w:tc>
          <w:tcPr>
            <w:tcW w:w="800"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w:t>
            </w:r>
            <w:bookmarkStart w:id="946" w:name="xdx_98C_eus-gaap--ShareBasedCompensation"/>
            <w:bookmarkEnd w:id="946"/>
          </w:p>
        </w:tc>
        <w:tc>
          <w:tcPr>
            <w:tcW w:w="604" w:type="dxa"/>
            <w:tcBorders/>
            <w:shd w:fill="FFFFFF" w:val="clear"/>
            <w:tcMar>
              <w:bottom w:w="0" w:type="dxa"/>
            </w:tcMar>
            <w:vAlign w:val="center"/>
          </w:tcPr>
          <w:p>
            <w:pPr>
              <w:pStyle w:val="TableContents"/>
              <w:bidi w:val="0"/>
              <w:spacing w:before="0" w:after="283"/>
              <w:jc w:val="right"/>
              <w:rPr/>
            </w:pPr>
            <w:r>
              <w:rPr/>
              <w:t>355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bookmarkStart w:id="947" w:name="xdx_98F_eus-gaap--ShareBasedCompensation"/>
            <w:bookmarkEnd w:id="947"/>
          </w:p>
        </w:tc>
        <w:tc>
          <w:tcPr>
            <w:tcW w:w="796" w:type="dxa"/>
            <w:tcBorders/>
            <w:shd w:fill="FFFFFF" w:val="clear"/>
            <w:tcMar>
              <w:bottom w:w="0" w:type="dxa"/>
            </w:tcMar>
            <w:vAlign w:val="center"/>
          </w:tcPr>
          <w:p>
            <w:pPr>
              <w:pStyle w:val="TableContents"/>
              <w:bidi w:val="0"/>
              <w:spacing w:before="0" w:after="283"/>
              <w:jc w:val="right"/>
              <w:rPr/>
            </w:pPr>
            <w:r>
              <w:rPr/>
              <w:t>4.58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0" w:type="dxa"/>
            <w:tcBorders/>
            <w:shd w:fill="FFFFFF" w:val="clear"/>
            <w:tcMar>
              <w:bottom w:w="0" w:type="dxa"/>
            </w:tcMar>
            <w:vAlign w:val="center"/>
          </w:tcPr>
          <w:p>
            <w:pPr>
              <w:pStyle w:val="TableContents"/>
              <w:bidi w:val="0"/>
              <w:spacing w:before="0" w:after="283"/>
              <w:jc w:val="left"/>
              <w:rPr/>
            </w:pPr>
            <w:r>
              <w:rPr/>
              <w:t>$</w:t>
            </w:r>
            <w:bookmarkStart w:id="948" w:name="xdx_98B_eus-gaap--ShareBasedCompensation"/>
            <w:bookmarkEnd w:id="948"/>
          </w:p>
        </w:tc>
        <w:tc>
          <w:tcPr>
            <w:tcW w:w="1154" w:type="dxa"/>
            <w:tcBorders/>
            <w:shd w:fill="FFFFFF" w:val="clear"/>
            <w:tcMar>
              <w:bottom w:w="0" w:type="dxa"/>
            </w:tcMar>
            <w:vAlign w:val="center"/>
          </w:tcPr>
          <w:p>
            <w:pPr>
              <w:pStyle w:val="TableContents"/>
              <w:bidi w:val="0"/>
              <w:spacing w:before="0" w:after="283"/>
              <w:jc w:val="right"/>
              <w:rPr/>
            </w:pPr>
            <w:r>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283"/>
              <w:jc w:val="center"/>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bookmarkStart w:id="949" w:name="xdx_98D_eus-gaap--ShareBasedCompensation"/>
            <w:bookmarkEnd w:id="949"/>
          </w:p>
        </w:tc>
        <w:tc>
          <w:tcPr>
            <w:tcW w:w="796" w:type="dxa"/>
            <w:tcBorders/>
            <w:shd w:fill="CCEEFF" w:val="clear"/>
            <w:tcMar>
              <w:bottom w:w="0" w:type="dxa"/>
            </w:tcMar>
            <w:vAlign w:val="center"/>
          </w:tcPr>
          <w:p>
            <w:pPr>
              <w:pStyle w:val="TableContents"/>
              <w:bidi w:val="0"/>
              <w:spacing w:before="0" w:after="283"/>
              <w:jc w:val="right"/>
              <w:rPr/>
            </w:pPr>
            <w:r>
              <w:rPr/>
              <w:t>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bookmarkStart w:id="950" w:name="xdx_98A_eus-gaap--ShareBasedCompensation"/>
            <w:bookmarkEnd w:id="950"/>
          </w:p>
        </w:tc>
        <w:tc>
          <w:tcPr>
            <w:tcW w:w="812" w:type="dxa"/>
            <w:tcBorders/>
            <w:shd w:fill="CCEEFF" w:val="clear"/>
            <w:tcMar>
              <w:bottom w:w="0" w:type="dxa"/>
            </w:tcMar>
            <w:vAlign w:val="center"/>
          </w:tcPr>
          <w:p>
            <w:pPr>
              <w:pStyle w:val="TableContents"/>
              <w:bidi w:val="0"/>
              <w:spacing w:before="0" w:after="283"/>
              <w:jc w:val="right"/>
              <w:rPr/>
            </w:pPr>
            <w:r>
              <w:rPr/>
              <w:t>3.57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951" w:name="xdx_98D_eus-gaap--ShareBasedCompensation"/>
            <w:bookmarkEnd w:id="951"/>
          </w:p>
        </w:tc>
        <w:tc>
          <w:tcPr>
            <w:tcW w:w="800" w:type="dxa"/>
            <w:tcBorders/>
            <w:shd w:fill="CCEEFF" w:val="clear"/>
            <w:tcMar>
              <w:bottom w:w="0" w:type="dxa"/>
            </w:tcMar>
            <w:vAlign w:val="center"/>
          </w:tcPr>
          <w:p>
            <w:pPr>
              <w:pStyle w:val="TableContents"/>
              <w:bidi w:val="0"/>
              <w:spacing w:before="0" w:after="283"/>
              <w:jc w:val="right"/>
              <w:rPr/>
            </w:pPr>
            <w:r>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w:t>
            </w:r>
            <w:bookmarkStart w:id="952" w:name="xdx_984_eus-gaap--ShareBasedCompensation"/>
            <w:bookmarkEnd w:id="952"/>
          </w:p>
        </w:tc>
        <w:tc>
          <w:tcPr>
            <w:tcW w:w="604" w:type="dxa"/>
            <w:tcBorders/>
            <w:shd w:fill="CCEEFF" w:val="clear"/>
            <w:tcMar>
              <w:bottom w:w="0" w:type="dxa"/>
            </w:tcMar>
            <w:vAlign w:val="center"/>
          </w:tcPr>
          <w:p>
            <w:pPr>
              <w:pStyle w:val="TableContents"/>
              <w:bidi w:val="0"/>
              <w:spacing w:before="0" w:after="283"/>
              <w:jc w:val="right"/>
              <w:rPr/>
            </w:pPr>
            <w:r>
              <w:rPr/>
              <w:t>357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bookmarkStart w:id="953" w:name="xdx_981_eus-gaap--ShareBasedCompensation"/>
            <w:bookmarkEnd w:id="953"/>
          </w:p>
        </w:tc>
        <w:tc>
          <w:tcPr>
            <w:tcW w:w="796" w:type="dxa"/>
            <w:tcBorders/>
            <w:shd w:fill="CCEEFF" w:val="clear"/>
            <w:tcMar>
              <w:bottom w:w="0" w:type="dxa"/>
            </w:tcMar>
            <w:vAlign w:val="center"/>
          </w:tcPr>
          <w:p>
            <w:pPr>
              <w:pStyle w:val="TableContents"/>
              <w:bidi w:val="0"/>
              <w:spacing w:before="0" w:after="283"/>
              <w:jc w:val="right"/>
              <w:rPr/>
            </w:pPr>
            <w:r>
              <w:rPr/>
              <w:t>5.99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0" w:type="dxa"/>
            <w:tcBorders/>
            <w:shd w:fill="CCEEFF" w:val="clear"/>
            <w:tcMar>
              <w:bottom w:w="0" w:type="dxa"/>
            </w:tcMar>
            <w:vAlign w:val="center"/>
          </w:tcPr>
          <w:p>
            <w:pPr>
              <w:pStyle w:val="TableContents"/>
              <w:bidi w:val="0"/>
              <w:spacing w:before="0" w:after="283"/>
              <w:jc w:val="left"/>
              <w:rPr/>
            </w:pPr>
            <w:r>
              <w:rPr/>
              <w:t>$</w:t>
            </w:r>
            <w:bookmarkStart w:id="954" w:name="xdx_98F_eus-gaap--ShareBasedCompensation"/>
            <w:bookmarkEnd w:id="954"/>
          </w:p>
        </w:tc>
        <w:tc>
          <w:tcPr>
            <w:tcW w:w="1154" w:type="dxa"/>
            <w:tcBorders/>
            <w:shd w:fill="CCEEFF" w:val="clear"/>
            <w:tcMar>
              <w:bottom w:w="0" w:type="dxa"/>
            </w:tcMar>
            <w:vAlign w:val="center"/>
          </w:tcPr>
          <w:p>
            <w:pPr>
              <w:pStyle w:val="TableContents"/>
              <w:bidi w:val="0"/>
              <w:spacing w:before="0" w:after="283"/>
              <w:jc w:val="right"/>
              <w:rPr/>
            </w:pPr>
            <w:r>
              <w:rPr/>
              <w:t>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05" w:type="dxa"/>
            <w:tcBorders/>
            <w:shd w:fill="FFFFFF" w:val="clear"/>
            <w:tcMar>
              <w:bottom w:w="0" w:type="dxa"/>
            </w:tcMar>
            <w:vAlign w:val="center"/>
          </w:tcPr>
          <w:p>
            <w:pPr>
              <w:pStyle w:val="TableContents"/>
              <w:bidi w:val="0"/>
              <w:spacing w:before="0" w:after="283"/>
              <w:jc w:val="center"/>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w:t>
            </w:r>
            <w:bookmarkStart w:id="955" w:name="xdx_984_eus-gaap--ShareBasedCompensation"/>
            <w:bookmarkEnd w:id="955"/>
          </w:p>
        </w:tc>
        <w:tc>
          <w:tcPr>
            <w:tcW w:w="796" w:type="dxa"/>
            <w:tcBorders/>
            <w:shd w:fill="FFFFFF" w:val="clear"/>
            <w:tcMar>
              <w:bottom w:w="0" w:type="dxa"/>
            </w:tcMar>
            <w:vAlign w:val="center"/>
          </w:tcPr>
          <w:p>
            <w:pPr>
              <w:pStyle w:val="TableContents"/>
              <w:bidi w:val="0"/>
              <w:spacing w:before="0" w:after="283"/>
              <w:jc w:val="right"/>
              <w:rPr/>
            </w:pPr>
            <w:r>
              <w:rPr/>
              <w:t>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w:t>
            </w:r>
            <w:bookmarkStart w:id="956" w:name="xdx_980_eus-gaap--ShareBasedCompensation"/>
            <w:bookmarkEnd w:id="956"/>
          </w:p>
        </w:tc>
        <w:tc>
          <w:tcPr>
            <w:tcW w:w="812" w:type="dxa"/>
            <w:tcBorders/>
            <w:shd w:fill="FFFFFF" w:val="clear"/>
            <w:tcMar>
              <w:bottom w:w="0" w:type="dxa"/>
            </w:tcMar>
            <w:vAlign w:val="center"/>
          </w:tcPr>
          <w:p>
            <w:pPr>
              <w:pStyle w:val="TableContents"/>
              <w:bidi w:val="0"/>
              <w:spacing w:before="0" w:after="283"/>
              <w:jc w:val="right"/>
              <w:rPr/>
            </w:pPr>
            <w:r>
              <w:rPr/>
              <w:t>3.56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957" w:name="xdx_981_eus-gaap--ShareBasedCompensation"/>
            <w:bookmarkEnd w:id="957"/>
          </w:p>
        </w:tc>
        <w:tc>
          <w:tcPr>
            <w:tcW w:w="800" w:type="dxa"/>
            <w:tcBorders/>
            <w:shd w:fill="FFFFFF" w:val="clear"/>
            <w:tcMar>
              <w:bottom w:w="0" w:type="dxa"/>
            </w:tcMar>
            <w:vAlign w:val="center"/>
          </w:tcPr>
          <w:p>
            <w:pPr>
              <w:pStyle w:val="TableContents"/>
              <w:bidi w:val="0"/>
              <w:spacing w:before="0" w:after="283"/>
              <w:jc w:val="right"/>
              <w:rPr/>
            </w:pPr>
            <w:r>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w:t>
            </w:r>
            <w:bookmarkStart w:id="958" w:name="xdx_989_eus-gaap--ShareBasedCompensation"/>
            <w:bookmarkEnd w:id="958"/>
          </w:p>
        </w:tc>
        <w:tc>
          <w:tcPr>
            <w:tcW w:w="604" w:type="dxa"/>
            <w:tcBorders/>
            <w:shd w:fill="FFFFFF" w:val="clear"/>
            <w:tcMar>
              <w:bottom w:w="0" w:type="dxa"/>
            </w:tcMar>
            <w:vAlign w:val="center"/>
          </w:tcPr>
          <w:p>
            <w:pPr>
              <w:pStyle w:val="TableContents"/>
              <w:bidi w:val="0"/>
              <w:spacing w:before="0" w:after="283"/>
              <w:jc w:val="right"/>
              <w:rPr/>
            </w:pPr>
            <w:r>
              <w:rPr/>
              <w:t>356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bookmarkStart w:id="959" w:name="xdx_982_eus-gaap--ShareBasedCompensation"/>
            <w:bookmarkEnd w:id="959"/>
          </w:p>
        </w:tc>
        <w:tc>
          <w:tcPr>
            <w:tcW w:w="796" w:type="dxa"/>
            <w:tcBorders/>
            <w:shd w:fill="FFFFFF" w:val="clear"/>
            <w:tcMar>
              <w:bottom w:w="0" w:type="dxa"/>
            </w:tcMar>
            <w:vAlign w:val="center"/>
          </w:tcPr>
          <w:p>
            <w:pPr>
              <w:pStyle w:val="TableContents"/>
              <w:bidi w:val="0"/>
              <w:spacing w:before="0" w:after="283"/>
              <w:jc w:val="right"/>
              <w:rPr/>
            </w:pPr>
            <w:r>
              <w:rPr/>
              <w:t>6.84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0" w:type="dxa"/>
            <w:tcBorders/>
            <w:shd w:fill="FFFFFF" w:val="clear"/>
            <w:tcMar>
              <w:bottom w:w="0" w:type="dxa"/>
            </w:tcMar>
            <w:vAlign w:val="center"/>
          </w:tcPr>
          <w:p>
            <w:pPr>
              <w:pStyle w:val="TableContents"/>
              <w:bidi w:val="0"/>
              <w:spacing w:before="0" w:after="283"/>
              <w:jc w:val="left"/>
              <w:rPr/>
            </w:pPr>
            <w:r>
              <w:rPr/>
              <w:t>$</w:t>
            </w:r>
            <w:bookmarkStart w:id="960" w:name="xdx_986_eus-gaap--ShareBasedCompensation"/>
            <w:bookmarkEnd w:id="960"/>
          </w:p>
        </w:tc>
        <w:tc>
          <w:tcPr>
            <w:tcW w:w="1154" w:type="dxa"/>
            <w:tcBorders/>
            <w:shd w:fill="FFFFFF" w:val="clear"/>
            <w:tcMar>
              <w:bottom w:w="0" w:type="dxa"/>
            </w:tcMar>
            <w:vAlign w:val="center"/>
          </w:tcPr>
          <w:p>
            <w:pPr>
              <w:pStyle w:val="TableContents"/>
              <w:bidi w:val="0"/>
              <w:spacing w:before="0" w:after="283"/>
              <w:jc w:val="right"/>
              <w:rPr/>
            </w:pPr>
            <w:r>
              <w:rPr/>
              <w:t>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05" w:type="dxa"/>
            <w:tcBorders/>
            <w:shd w:fill="CCEEFF" w:val="clear"/>
            <w:tcMar>
              <w:bottom w:w="0" w:type="dxa"/>
            </w:tcMar>
            <w:vAlign w:val="center"/>
          </w:tcPr>
          <w:p>
            <w:pPr>
              <w:pStyle w:val="TableContents"/>
              <w:bidi w:val="0"/>
              <w:spacing w:before="0" w:after="283"/>
              <w:jc w:val="center"/>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bookmarkStart w:id="961" w:name="xdx_987_eus-gaap--ShareBasedCompensation"/>
            <w:bookmarkEnd w:id="961"/>
          </w:p>
        </w:tc>
        <w:tc>
          <w:tcPr>
            <w:tcW w:w="796" w:type="dxa"/>
            <w:tcBorders/>
            <w:shd w:fill="CCEEFF" w:val="clear"/>
            <w:tcMar>
              <w:bottom w:w="0" w:type="dxa"/>
            </w:tcMar>
            <w:vAlign w:val="center"/>
          </w:tcPr>
          <w:p>
            <w:pPr>
              <w:pStyle w:val="TableContents"/>
              <w:bidi w:val="0"/>
              <w:spacing w:before="0" w:after="283"/>
              <w:jc w:val="right"/>
              <w:rPr/>
            </w:pPr>
            <w:r>
              <w:rPr/>
              <w:t>12.00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bookmarkStart w:id="962" w:name="xdx_98A_eus-gaap--ShareBasedCompensation"/>
            <w:bookmarkEnd w:id="962"/>
          </w:p>
        </w:tc>
        <w:tc>
          <w:tcPr>
            <w:tcW w:w="812" w:type="dxa"/>
            <w:tcBorders/>
            <w:shd w:fill="CCEEFF" w:val="clear"/>
            <w:tcMar>
              <w:bottom w:w="0" w:type="dxa"/>
            </w:tcMar>
            <w:vAlign w:val="center"/>
          </w:tcPr>
          <w:p>
            <w:pPr>
              <w:pStyle w:val="TableContents"/>
              <w:bidi w:val="0"/>
              <w:spacing w:before="0" w:after="283"/>
              <w:jc w:val="right"/>
              <w:rPr/>
            </w:pPr>
            <w:r>
              <w:rPr/>
              <w:t>3.54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bookmarkStart w:id="963" w:name="xdx_980_eus-gaap--ShareBasedCompensation"/>
            <w:bookmarkEnd w:id="963"/>
          </w:p>
        </w:tc>
        <w:tc>
          <w:tcPr>
            <w:tcW w:w="800" w:type="dxa"/>
            <w:tcBorders>
              <w:bottom w:val="single" w:sz="8" w:space="0" w:color="000000"/>
            </w:tcBorders>
            <w:shd w:fill="CCEEFF" w:val="clear"/>
            <w:vAlign w:val="center"/>
          </w:tcPr>
          <w:p>
            <w:pPr>
              <w:pStyle w:val="TableContents"/>
              <w:bidi w:val="0"/>
              <w:spacing w:before="0" w:after="283"/>
              <w:jc w:val="right"/>
              <w:rPr/>
            </w:pPr>
            <w:r>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CCEEFF" w:val="clear"/>
            <w:vAlign w:val="center"/>
          </w:tcPr>
          <w:p>
            <w:pPr>
              <w:pStyle w:val="TableContents"/>
              <w:bidi w:val="0"/>
              <w:spacing w:before="0" w:after="283"/>
              <w:jc w:val="left"/>
              <w:rPr/>
            </w:pPr>
            <w:r>
              <w:rPr/>
              <w:t>$</w:t>
            </w:r>
            <w:bookmarkStart w:id="964" w:name="xdx_98C_eus-gaap--ShareBasedCompensation"/>
            <w:bookmarkEnd w:id="964"/>
          </w:p>
        </w:tc>
        <w:tc>
          <w:tcPr>
            <w:tcW w:w="604" w:type="dxa"/>
            <w:tcBorders>
              <w:bottom w:val="single" w:sz="8" w:space="0" w:color="000000"/>
            </w:tcBorders>
            <w:shd w:fill="CCEEFF" w:val="clear"/>
            <w:vAlign w:val="center"/>
          </w:tcPr>
          <w:p>
            <w:pPr>
              <w:pStyle w:val="TableContents"/>
              <w:bidi w:val="0"/>
              <w:spacing w:before="0" w:after="283"/>
              <w:jc w:val="right"/>
              <w:rPr/>
            </w:pPr>
            <w:r>
              <w:rPr/>
              <w:t>354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bookmarkStart w:id="965" w:name="xdx_98C_eus-gaap--ShareBasedCompensation"/>
            <w:bookmarkEnd w:id="965"/>
          </w:p>
        </w:tc>
        <w:tc>
          <w:tcPr>
            <w:tcW w:w="796" w:type="dxa"/>
            <w:tcBorders/>
            <w:shd w:fill="CCEEFF" w:val="clear"/>
            <w:tcMar>
              <w:bottom w:w="0" w:type="dxa"/>
            </w:tcMar>
            <w:vAlign w:val="center"/>
          </w:tcPr>
          <w:p>
            <w:pPr>
              <w:pStyle w:val="TableContents"/>
              <w:bidi w:val="0"/>
              <w:spacing w:before="0" w:after="283"/>
              <w:jc w:val="right"/>
              <w:rPr/>
            </w:pPr>
            <w:r>
              <w:rPr/>
              <w:t>7.41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vAlign w:val="center"/>
          </w:tcPr>
          <w:p>
            <w:pPr>
              <w:pStyle w:val="TableContents"/>
              <w:bidi w:val="0"/>
              <w:spacing w:before="0" w:after="283"/>
              <w:jc w:val="left"/>
              <w:rPr/>
            </w:pPr>
            <w:r>
              <w:rPr/>
              <w:t>$</w:t>
            </w:r>
            <w:bookmarkStart w:id="966" w:name="xdx_981_eus-gaap--ShareBasedCompensation"/>
            <w:bookmarkEnd w:id="966"/>
          </w:p>
        </w:tc>
        <w:tc>
          <w:tcPr>
            <w:tcW w:w="1154" w:type="dxa"/>
            <w:tcBorders>
              <w:bottom w:val="single" w:sz="8" w:space="0" w:color="000000"/>
            </w:tcBorders>
            <w:shd w:fill="CCEEFF" w:val="clear"/>
            <w:vAlign w:val="center"/>
          </w:tcPr>
          <w:p>
            <w:pPr>
              <w:pStyle w:val="TableContents"/>
              <w:bidi w:val="0"/>
              <w:spacing w:before="0" w:after="283"/>
              <w:jc w:val="right"/>
              <w:rPr/>
            </w:pPr>
            <w:r>
              <w:rPr/>
              <w:t>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0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79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967" w:name="xdx_98C_eus-gaap--ShareBasedCompensation"/>
            <w:bookmarkEnd w:id="967"/>
          </w:p>
        </w:tc>
        <w:tc>
          <w:tcPr>
            <w:tcW w:w="800" w:type="dxa"/>
            <w:tcBorders/>
            <w:shd w:fill="FFFFFF" w:val="clear"/>
            <w:tcMar>
              <w:bottom w:w="0" w:type="dxa"/>
            </w:tcMar>
            <w:vAlign w:val="center"/>
          </w:tcPr>
          <w:p>
            <w:pPr>
              <w:pStyle w:val="TableContents"/>
              <w:bidi w:val="0"/>
              <w:spacing w:before="0" w:after="283"/>
              <w:jc w:val="right"/>
              <w:rPr>
                <w:b/>
              </w:rPr>
            </w:pPr>
            <w:r>
              <w:rPr>
                <w:b/>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b/>
              </w:rPr>
            </w:pPr>
            <w:r>
              <w:rPr>
                <w:b/>
              </w:rPr>
              <w:t>$</w:t>
            </w:r>
            <w:bookmarkStart w:id="968" w:name="xdx_988_eus-gaap--ShareBasedCompensation"/>
            <w:bookmarkEnd w:id="968"/>
          </w:p>
        </w:tc>
        <w:tc>
          <w:tcPr>
            <w:tcW w:w="604" w:type="dxa"/>
            <w:tcBorders/>
            <w:shd w:fill="FFFFFF" w:val="clear"/>
            <w:tcMar>
              <w:bottom w:w="0" w:type="dxa"/>
            </w:tcMar>
            <w:vAlign w:val="center"/>
          </w:tcPr>
          <w:p>
            <w:pPr>
              <w:pStyle w:val="TableContents"/>
              <w:bidi w:val="0"/>
              <w:spacing w:before="0" w:after="283"/>
              <w:jc w:val="right"/>
              <w:rPr>
                <w:b/>
              </w:rPr>
            </w:pPr>
            <w:r>
              <w:rPr>
                <w:b/>
              </w:rPr>
              <w:t>1,778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79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0" w:type="dxa"/>
            <w:tcBorders/>
            <w:shd w:fill="FFFFFF" w:val="clear"/>
            <w:tcMar>
              <w:bottom w:w="0" w:type="dxa"/>
            </w:tcMar>
            <w:vAlign w:val="center"/>
          </w:tcPr>
          <w:p>
            <w:pPr>
              <w:pStyle w:val="TableContents"/>
              <w:bidi w:val="0"/>
              <w:spacing w:before="0" w:after="283"/>
              <w:jc w:val="left"/>
              <w:rPr>
                <w:b/>
              </w:rPr>
            </w:pPr>
            <w:r>
              <w:rPr>
                <w:b/>
              </w:rPr>
              <w:t>$</w:t>
            </w:r>
            <w:bookmarkStart w:id="969" w:name="xdx_982_eus-gaap--ShareBasedCompensation"/>
            <w:bookmarkEnd w:id="969"/>
          </w:p>
        </w:tc>
        <w:tc>
          <w:tcPr>
            <w:tcW w:w="1154" w:type="dxa"/>
            <w:tcBorders/>
            <w:shd w:fill="FFFFFF" w:val="clear"/>
            <w:tcMar>
              <w:bottom w:w="0" w:type="dxa"/>
            </w:tcMar>
            <w:vAlign w:val="center"/>
          </w:tcPr>
          <w:p>
            <w:pPr>
              <w:pStyle w:val="TableContents"/>
              <w:bidi w:val="0"/>
              <w:spacing w:before="0" w:after="283"/>
              <w:jc w:val="right"/>
              <w:rPr>
                <w:b/>
              </w:rPr>
            </w:pPr>
            <w:r>
              <w:rPr>
                <w:b/>
              </w:rPr>
              <w:t>54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70" w:name="xdx_F00_zmo7cM9XbfSc"/>
            <w:bookmarkEnd w:id="970"/>
            <w:r>
              <w:rPr>
                <w:rFonts w:ascii="Times New Roman;Times;Serif" w:hAnsi="Times New Roman;Times;Serif"/>
                <w:b w:val="false"/>
                <w:i w:val="false"/>
                <w:caps w:val="false"/>
                <w:smallCaps w:val="false"/>
                <w:sz w:val="20"/>
              </w:rPr>
              <w:t>(1)</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71" w:name="xdx_F14_zRtLkG6KmTH4"/>
            <w:bookmarkEnd w:id="971"/>
            <w:r>
              <w:rPr>
                <w:rFonts w:ascii="Times New Roman;Times;Serif" w:hAnsi="Times New Roman;Times;Serif"/>
                <w:b w:val="false"/>
                <w:i w:val="false"/>
                <w:caps w:val="false"/>
                <w:smallCaps w:val="false"/>
                <w:sz w:val="20"/>
              </w:rPr>
              <w:t>GDFV per unit, determined using a Monte Carlo simulation model. The weighted-average grant-date fair value per unit for the stock price-based PSUs was $</w:t>
            </w:r>
            <w:bookmarkStart w:id="972" w:name="xdx_907_eus-gaap--ShareBasedCompensation"/>
            <w:bookmarkEnd w:id="972"/>
            <w:r>
              <w:rPr>
                <w:rFonts w:ascii="Times New Roman;Times;Serif" w:hAnsi="Times New Roman;Times;Serif"/>
                <w:b w:val="false"/>
                <w:i w:val="false"/>
                <w:caps w:val="false"/>
                <w:smallCaps w:val="false"/>
                <w:sz w:val="20"/>
              </w:rPr>
              <w:t>3.56.</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73" w:name="xdx_F0A_zz6z6KWkLEGj"/>
            <w:bookmarkEnd w:id="973"/>
            <w:r>
              <w:rPr>
                <w:rFonts w:ascii="Times New Roman;Times;Serif" w:hAnsi="Times New Roman;Times;Serif"/>
                <w:b w:val="false"/>
                <w:i w:val="false"/>
                <w:caps w:val="false"/>
                <w:smallCaps w:val="false"/>
                <w:sz w:val="20"/>
              </w:rPr>
              <w:t>(2)</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74" w:name="xdx_F17_zOCMe4oVTwS5"/>
            <w:bookmarkEnd w:id="974"/>
            <w:r>
              <w:rPr>
                <w:rFonts w:ascii="Times New Roman;Times;Serif" w:hAnsi="Times New Roman;Times;Serif"/>
                <w:b w:val="false"/>
                <w:i w:val="false"/>
                <w:caps w:val="false"/>
                <w:smallCaps w:val="false"/>
                <w:sz w:val="20"/>
              </w:rPr>
              <w:t>Aggregate fair value (“Agg FV”)</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75" w:name="xdx_F0F_zOuF59KS3pT8"/>
            <w:bookmarkEnd w:id="975"/>
            <w:r>
              <w:rPr>
                <w:rFonts w:ascii="Times New Roman;Times;Serif" w:hAnsi="Times New Roman;Times;Serif"/>
                <w:b w:val="false"/>
                <w:i w:val="false"/>
                <w:caps w:val="false"/>
                <w:smallCaps w:val="false"/>
                <w:sz w:val="20"/>
              </w:rPr>
              <w:t>(3)</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76" w:name="xdx_F10_zk4u5lekT2D7"/>
            <w:bookmarkEnd w:id="976"/>
            <w:r>
              <w:rPr>
                <w:rFonts w:ascii="Times New Roman;Times;Serif" w:hAnsi="Times New Roman;Times;Serif"/>
                <w:b w:val="false"/>
                <w:i w:val="false"/>
                <w:caps w:val="false"/>
                <w:smallCaps w:val="false"/>
                <w:sz w:val="20"/>
              </w:rPr>
              <w:t>Derived service period (“DSP”)</w:t>
            </w:r>
          </w:p>
        </w:tc>
      </w:tr>
    </w:tbl>
    <w:p>
      <w:pPr>
        <w:pStyle w:val="TextBody"/>
        <w:bidi w:val="0"/>
        <w:spacing w:before="0" w:after="0"/>
        <w:ind w:left="0" w:right="0" w:hanging="0"/>
        <w:jc w:val="both"/>
        <w:rPr>
          <w:caps w:val="false"/>
          <w:smallCaps w:val="false"/>
        </w:rPr>
      </w:pPr>
      <w:bookmarkStart w:id="977" w:name="xdx_8A3_zcitvmg3g5P6"/>
      <w:bookmarkEnd w:id="9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grant-date fair value of the </w:t>
      </w:r>
      <w:bookmarkStart w:id="978" w:name="xdx_908_eus-gaap--StockIssuedDuringPerio"/>
      <w:bookmarkEnd w:id="978"/>
      <w:r>
        <w:rPr>
          <w:rFonts w:ascii="Times New Roman;Times;Serif" w:hAnsi="Times New Roman;Times;Serif"/>
          <w:b w:val="false"/>
          <w:i w:val="false"/>
          <w:caps w:val="false"/>
          <w:smallCaps w:val="false"/>
          <w:sz w:val="20"/>
        </w:rPr>
        <w:t>500,000 stock price-based PSUs was approximately $</w:t>
      </w:r>
      <w:bookmarkStart w:id="979" w:name="xdx_90C_eus-gaap--StockIssuedDuringPerio"/>
      <w:bookmarkEnd w:id="979"/>
      <w:r>
        <w:rPr>
          <w:rFonts w:ascii="Times New Roman;Times;Serif" w:hAnsi="Times New Roman;Times;Serif"/>
          <w:b w:val="false"/>
          <w:i w:val="false"/>
          <w:caps w:val="false"/>
          <w:smallCaps w:val="false"/>
          <w:sz w:val="20"/>
        </w:rPr>
        <w:t>1,778. In accordance with ASC 718-10-25-8, compensation cost is recognized on a straight-line basis over the derived service period for each tranche, regardless of whether the stock price milestones are ultimately achieved. Previously recognized compensation cost is not reversed if a market condition is not satisfied, provided that all necessary service has been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recognized stock-based compensation expense of approximately $</w:t>
      </w:r>
      <w:bookmarkStart w:id="980" w:name="xdx_90B_eus-gaap--ShareBasedCompensation"/>
      <w:bookmarkEnd w:id="980"/>
      <w:r>
        <w:rPr>
          <w:rFonts w:ascii="Times New Roman;Times;Serif" w:hAnsi="Times New Roman;Times;Serif"/>
          <w:b w:val="false"/>
          <w:i w:val="false"/>
          <w:caps w:val="false"/>
          <w:smallCaps w:val="false"/>
          <w:sz w:val="20"/>
        </w:rPr>
        <w:t>54 related to the stock price-based PSUs, which is included in general and administrative expenses in the unaudited condensed consolidated statements of operations. As of March 31, 2026, unrecognized compensation cost related to the stock price-based PSUs was approximately $</w:t>
      </w:r>
      <w:bookmarkStart w:id="981" w:name="xdx_902_eus-gaap--StockIssuedDuringPerio"/>
      <w:bookmarkEnd w:id="981"/>
      <w:r>
        <w:rPr>
          <w:rFonts w:ascii="Times New Roman;Times;Serif" w:hAnsi="Times New Roman;Times;Serif"/>
          <w:b w:val="false"/>
          <w:i w:val="false"/>
          <w:caps w:val="false"/>
          <w:smallCaps w:val="false"/>
          <w:sz w:val="20"/>
        </w:rPr>
        <w:t>1,724, however, following the consultant’s resignation in April 2026, the remaining unrecognized compensation cost associated with the unvested stock price-based PSUs will not be recognized in future periods because the requisite service condition will no longer be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consultant is also entitled to </w:t>
      </w:r>
      <w:bookmarkStart w:id="982" w:name="xdx_901_eus-gaap--StockIssuedDuringPerio"/>
      <w:bookmarkEnd w:id="982"/>
      <w:r>
        <w:rPr>
          <w:rFonts w:ascii="Times New Roman;Times;Serif" w:hAnsi="Times New Roman;Times;Serif"/>
          <w:b w:val="false"/>
          <w:i w:val="false"/>
          <w:caps w:val="false"/>
          <w:smallCaps w:val="false"/>
          <w:sz w:val="20"/>
        </w:rPr>
        <w:t>500,000 time-based RSUs (</w:t>
      </w:r>
      <w:bookmarkStart w:id="983" w:name="xdx_909_eus-gaap--ShareBasedCompensation"/>
      <w:bookmarkEnd w:id="983"/>
      <w:r>
        <w:rPr>
          <w:rFonts w:ascii="Times New Roman;Times;Serif" w:hAnsi="Times New Roman;Times;Serif"/>
          <w:b w:val="false"/>
          <w:i w:val="false"/>
          <w:caps w:val="false"/>
          <w:smallCaps w:val="false"/>
          <w:sz w:val="20"/>
        </w:rPr>
        <w:t xml:space="preserve">300,000 vesting on the effective date and </w:t>
      </w:r>
      <w:bookmarkStart w:id="984" w:name="xdx_900_eus-gaap--ShareBasedCompensation"/>
      <w:bookmarkEnd w:id="984"/>
      <w:r>
        <w:rPr>
          <w:rFonts w:ascii="Times New Roman;Times;Serif" w:hAnsi="Times New Roman;Times;Serif"/>
          <w:b w:val="false"/>
          <w:i w:val="false"/>
          <w:caps w:val="false"/>
          <w:smallCaps w:val="false"/>
          <w:sz w:val="20"/>
        </w:rPr>
        <w:t>200,000 vesting quarterly over 12 months), which are separately disclosed in the RSU section above.</w:t>
      </w:r>
    </w:p>
    <w:p>
      <w:pPr>
        <w:pStyle w:val="TextBody"/>
        <w:bidi w:val="0"/>
        <w:spacing w:before="0" w:after="0"/>
        <w:ind w:left="0" w:right="0" w:hanging="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AUM-Based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16, 2026, the Company granted up to </w:t>
      </w:r>
      <w:bookmarkStart w:id="985" w:name="xdx_904_eus-gaap--StockIssuedDuringPerio"/>
      <w:bookmarkEnd w:id="985"/>
      <w:r>
        <w:rPr>
          <w:rFonts w:ascii="Times New Roman;Times;Serif" w:hAnsi="Times New Roman;Times;Serif"/>
          <w:b w:val="false"/>
          <w:i w:val="false"/>
          <w:caps w:val="false"/>
          <w:smallCaps w:val="false"/>
          <w:sz w:val="20"/>
        </w:rPr>
        <w:t>1,000,000 PSUs to a third-party consultant, vesting upon the achievement of assets under management (“AUM”) milestones related to the Company’s rare earth elements (“REE”) Fund (a planned commodity-linked investment product): (</w:t>
      </w:r>
      <w:bookmarkStart w:id="986" w:name="xdx_90A_ecustom--StockOptionDescription_"/>
      <w:bookmarkEnd w:id="986"/>
      <w:r>
        <w:rPr>
          <w:rFonts w:ascii="Times New Roman;Times;Serif" w:hAnsi="Times New Roman;Times;Serif"/>
          <w:b w:val="false"/>
          <w:i w:val="false"/>
          <w:caps w:val="false"/>
          <w:smallCaps w:val="false"/>
          <w:sz w:val="20"/>
        </w:rPr>
        <w:t>i) 50,000 units upon launch of the REE Fund (subject to a dollar cap of $150); (ii) 100,000 units when AUM exceeds $500 million (subject to a dollar cap of $350); and (iii) 850,000 units when AUM exceeds $1 billion (subject to a dollar cap of $3,000). The number of shares issuable under each tranche is the lesser of the fixed share amount or the dollar cap divided by the fair value per share at each vesting date. Although the number of shares is variable, the dollar caps function as a ceiling on value deliverable to the consultant and do not require delivery of a fixed monetary amount; the consultant bears downside stock price risk. The Company evaluated the award under ASC 480 and ASC 815 and concluded it does not meet the criteria for liability classification or derivative accounting. The award is equity-classified and indexed to the Company’s own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PSUs contain performance conditions under ASC 718. The grant-date fair value per unit was determined based on the closing price of the Company’s common stock of $</w:t>
      </w:r>
      <w:bookmarkStart w:id="987" w:name="xdx_909_eus-gaap--StockIssuedDuringPerio"/>
      <w:bookmarkEnd w:id="987"/>
      <w:r>
        <w:rPr>
          <w:rFonts w:ascii="Times New Roman;Times;Serif" w:hAnsi="Times New Roman;Times;Serif"/>
          <w:b w:val="false"/>
          <w:i w:val="false"/>
          <w:caps w:val="false"/>
          <w:smallCaps w:val="false"/>
          <w:sz w:val="20"/>
        </w:rPr>
        <w:t>1.83 on the grant date of March 16, 2026. At the grant-date stock price of $</w:t>
      </w:r>
      <w:bookmarkStart w:id="988" w:name="xdx_909_eus-gaap--StockIssuedDuringPerio"/>
      <w:bookmarkEnd w:id="988"/>
      <w:r>
        <w:rPr>
          <w:rFonts w:ascii="Times New Roman;Times;Serif" w:hAnsi="Times New Roman;Times;Serif"/>
          <w:b w:val="false"/>
          <w:i w:val="false"/>
          <w:caps w:val="false"/>
          <w:smallCaps w:val="false"/>
          <w:sz w:val="20"/>
        </w:rPr>
        <w:t>1.83, none of the dollar caps were binding (the lowest implied cap price is $</w:t>
      </w:r>
      <w:bookmarkStart w:id="989" w:name="xdx_903_eus-gaap--SharePrice_iI_pid_c202"/>
      <w:bookmarkEnd w:id="989"/>
      <w:r>
        <w:rPr>
          <w:rFonts w:ascii="Times New Roman;Times;Serif" w:hAnsi="Times New Roman;Times;Serif"/>
          <w:b w:val="false"/>
          <w:i w:val="false"/>
          <w:caps w:val="false"/>
          <w:smallCaps w:val="false"/>
          <w:sz w:val="20"/>
        </w:rPr>
        <w:t>3.00 for Tranche 1), and accordingly the grant-date fair value per unit equals $</w:t>
      </w:r>
      <w:bookmarkStart w:id="990" w:name="xdx_909_eus-gaap--StockIssuedDuringPerio"/>
      <w:bookmarkEnd w:id="990"/>
      <w:r>
        <w:rPr>
          <w:rFonts w:ascii="Times New Roman;Times;Serif" w:hAnsi="Times New Roman;Times;Serif"/>
          <w:b w:val="false"/>
          <w:i w:val="false"/>
          <w:caps w:val="false"/>
          <w:smallCaps w:val="false"/>
          <w:sz w:val="20"/>
        </w:rPr>
        <w:t>1.83 for all tranches. The aggregate grant-date fair value of the AUM-based PSUs is approximately $</w:t>
      </w:r>
      <w:bookmarkStart w:id="991" w:name="xdx_907_eus-gaap--StockIssuedDuringPerio"/>
      <w:bookmarkEnd w:id="991"/>
      <w:r>
        <w:rPr>
          <w:rFonts w:ascii="Times New Roman;Times;Serif" w:hAnsi="Times New Roman;Times;Serif"/>
          <w:b w:val="false"/>
          <w:i w:val="false"/>
          <w:caps w:val="false"/>
          <w:smallCaps w:val="false"/>
          <w:sz w:val="20"/>
        </w:rPr>
        <w:t>1,830 (based on the grant-date stock price of $</w:t>
      </w:r>
      <w:bookmarkStart w:id="992" w:name="xdx_909_eus-gaap--StockIssuedDuringPerio"/>
      <w:bookmarkEnd w:id="992"/>
      <w:r>
        <w:rPr>
          <w:rFonts w:ascii="Times New Roman;Times;Serif" w:hAnsi="Times New Roman;Times;Serif"/>
          <w:b w:val="false"/>
          <w:i w:val="false"/>
          <w:caps w:val="false"/>
          <w:smallCaps w:val="false"/>
          <w:sz w:val="20"/>
        </w:rPr>
        <w:t xml:space="preserve">1.83 applied to </w:t>
      </w:r>
      <w:bookmarkStart w:id="993" w:name="xdx_902_eus-gaap--StockIssuedDuringPerio"/>
      <w:bookmarkEnd w:id="993"/>
      <w:r>
        <w:rPr>
          <w:rFonts w:ascii="Times New Roman;Times;Serif" w:hAnsi="Times New Roman;Times;Serif"/>
          <w:b w:val="false"/>
          <w:i w:val="false"/>
          <w:caps w:val="false"/>
          <w:smallCaps w:val="false"/>
          <w:sz w:val="20"/>
        </w:rPr>
        <w:t>1,000,000 units at the maximum fixed share amounts), subject to a maximum aggregate dollar cap of $</w:t>
      </w:r>
      <w:bookmarkStart w:id="994" w:name="xdx_90B_eus-gaap--StockIssuedDuringPerio"/>
      <w:bookmarkEnd w:id="994"/>
      <w:r>
        <w:rPr>
          <w:rFonts w:ascii="Times New Roman;Times;Serif" w:hAnsi="Times New Roman;Times;Serif"/>
          <w:b w:val="false"/>
          <w:i w:val="false"/>
          <w:caps w:val="false"/>
          <w:smallCaps w:val="false"/>
          <w:sz w:val="20"/>
        </w:rPr>
        <w:t>3,500 (consisting of $</w:t>
      </w:r>
      <w:bookmarkStart w:id="995" w:name="xdx_904_eus-gaap--SharePrice_iI_pid_c202"/>
      <w:bookmarkEnd w:id="995"/>
      <w:r>
        <w:rPr>
          <w:rFonts w:ascii="Times New Roman;Times;Serif" w:hAnsi="Times New Roman;Times;Serif"/>
          <w:b w:val="false"/>
          <w:i w:val="false"/>
          <w:caps w:val="false"/>
          <w:smallCaps w:val="false"/>
          <w:sz w:val="20"/>
        </w:rPr>
        <w:t>150 for the first tranche, $</w:t>
      </w:r>
      <w:bookmarkStart w:id="996" w:name="xdx_904_eus-gaap--SharePrice_iI_pid_c202"/>
      <w:bookmarkEnd w:id="996"/>
      <w:r>
        <w:rPr>
          <w:rFonts w:ascii="Times New Roman;Times;Serif" w:hAnsi="Times New Roman;Times;Serif"/>
          <w:b w:val="false"/>
          <w:i w:val="false"/>
          <w:caps w:val="false"/>
          <w:smallCaps w:val="false"/>
          <w:sz w:val="20"/>
        </w:rPr>
        <w:t>350 for the second tranche, and $</w:t>
      </w:r>
      <w:bookmarkStart w:id="997" w:name="xdx_902_eus-gaap--SharePrice_iI_pid_c202"/>
      <w:bookmarkEnd w:id="997"/>
      <w:r>
        <w:rPr>
          <w:rFonts w:ascii="Times New Roman;Times;Serif" w:hAnsi="Times New Roman;Times;Serif"/>
          <w:b w:val="false"/>
          <w:i w:val="false"/>
          <w:caps w:val="false"/>
          <w:smallCaps w:val="false"/>
          <w:sz w:val="20"/>
        </w:rPr>
        <w:t xml:space="preserve">3,000 for the third tranche). </w:t>
      </w:r>
      <w:bookmarkStart w:id="998" w:name="xdx_901_eus-gaap--ShareBasedCompensation"/>
      <w:bookmarkEnd w:id="998"/>
      <w:r>
        <w:rPr>
          <w:rFonts w:ascii="Times New Roman;Times;Serif" w:hAnsi="Times New Roman;Times;Serif"/>
          <w:b w:val="false"/>
          <w:i w:val="false"/>
          <w:caps w:val="false"/>
          <w:smallCaps w:val="false"/>
          <w:sz w:val="20"/>
        </w:rPr>
        <w:t>The dollar caps limit the maximum value deliverable to the consultant regardless of the stock price at vesting. As of March 31, 2026, management assessed the probability of achieving each AUM-based performance condition on a tranche-by-tranche basis and concluded that no condition is probable. The launch of a REE Fund would require, among other things, formation of a legal entity, preparation of offering documents, establishment of custody and pricing infrastructure for rare earth elements, and satisfaction of applicable regulatory requirements — none of which had been initiated as of the reporting date. The AUM-based milestones ($500 million and $1 billion) are sequentially dependent on fund launch and were assessed as remote. Accordingly, no stock-based compensation expense was recognized during the three months ended March 31, 2026. The Company recognizes compensation cost only when achievement of the applicable performance condition is considered probable, on a straight-line basis over the requisite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PSU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total stock-based compensation expense recognized for PSU awards during the three months ended March 31, 2026 was approximately $</w:t>
      </w:r>
      <w:bookmarkStart w:id="999" w:name="xdx_90B_eus-gaap--ShareBasedCompensation"/>
      <w:bookmarkEnd w:id="999"/>
      <w:r>
        <w:rPr>
          <w:rFonts w:ascii="Times New Roman;Times;Serif" w:hAnsi="Times New Roman;Times;Serif"/>
          <w:b w:val="false"/>
          <w:i w:val="false"/>
          <w:caps w:val="false"/>
          <w:smallCaps w:val="false"/>
          <w:sz w:val="20"/>
        </w:rPr>
        <w:t>54, consisting entirely of expense related to the stock price-based PSUs. For the AUM-based PSUs, management assessed the probability of achieving each performance condition on a tranche-by-tranche basis and concluded that no condition met the “probable” threshold under ASC 718; accordingly, no expense was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unrecognized compensation cost related to outstanding PSUs was approximately $</w:t>
      </w:r>
      <w:bookmarkStart w:id="1000" w:name="xdx_902_eus-gaap--StockIssuedDuringPerio"/>
      <w:bookmarkEnd w:id="1000"/>
      <w:r>
        <w:rPr>
          <w:rFonts w:ascii="Times New Roman;Times;Serif" w:hAnsi="Times New Roman;Times;Serif"/>
          <w:b w:val="false"/>
          <w:i w:val="false"/>
          <w:caps w:val="false"/>
          <w:smallCaps w:val="false"/>
          <w:sz w:val="20"/>
        </w:rPr>
        <w:t>1,724 as of March 31, 2026, consisting of $</w:t>
      </w:r>
      <w:bookmarkStart w:id="1001" w:name="xdx_902_eus-gaap--StockIssuedDuringPerio"/>
      <w:bookmarkEnd w:id="1001"/>
      <w:r>
        <w:rPr>
          <w:rFonts w:ascii="Times New Roman;Times;Serif" w:hAnsi="Times New Roman;Times;Serif"/>
          <w:b w:val="false"/>
          <w:i w:val="false"/>
          <w:caps w:val="false"/>
          <w:smallCaps w:val="false"/>
          <w:sz w:val="20"/>
        </w:rPr>
        <w:t xml:space="preserve">1,724 related to stock price-based PSUs (to be recognized over a weighted-average period of approximately </w:t>
      </w:r>
      <w:bookmarkStart w:id="1002" w:name="xdx_90D_ecustom--WarrantsOutstandingWeig"/>
      <w:bookmarkEnd w:id="1002"/>
      <w:r>
        <w:rPr>
          <w:rFonts w:ascii="Times New Roman;Times;Serif" w:hAnsi="Times New Roman;Times;Serif"/>
          <w:b w:val="false"/>
          <w:i w:val="false"/>
          <w:caps w:val="false"/>
          <w:smallCaps w:val="false"/>
          <w:sz w:val="20"/>
        </w:rPr>
        <w:t>5.5 years) and $</w:t>
      </w:r>
      <w:bookmarkStart w:id="1003" w:name="xdx_90C_eus-gaap--EmployeeBenefitsAndSha"/>
      <w:bookmarkEnd w:id="1003"/>
      <w:r>
        <w:rPr>
          <w:rFonts w:ascii="Times New Roman;Times;Serif" w:hAnsi="Times New Roman;Times;Serif"/>
          <w:b w:val="false"/>
          <w:i w:val="false"/>
          <w:caps w:val="false"/>
          <w:smallCaps w:val="false"/>
          <w:sz w:val="20"/>
        </w:rPr>
        <w:t>0 related to AUM-based PSUs (to be recognized when achievement becomes probable, with an aggregate grant-date fair value of approximately $</w:t>
      </w:r>
      <w:bookmarkStart w:id="1004" w:name="xdx_909_eus-gaap--ShareBasedCompensation"/>
      <w:bookmarkEnd w:id="1004"/>
      <w:r>
        <w:rPr>
          <w:rFonts w:ascii="Times New Roman;Times;Serif" w:hAnsi="Times New Roman;Times;Serif"/>
          <w:b w:val="false"/>
          <w:i w:val="false"/>
          <w:caps w:val="false"/>
          <w:smallCaps w:val="false"/>
          <w:sz w:val="20"/>
        </w:rPr>
        <w:t>1,830, subject to a maximum dollar cap of $</w:t>
      </w:r>
      <w:bookmarkStart w:id="1005" w:name="xdx_90C_eus-gaap--ShareBasedCompensation"/>
      <w:bookmarkEnd w:id="1005"/>
      <w:r>
        <w:rPr>
          <w:rFonts w:ascii="Times New Roman;Times;Serif" w:hAnsi="Times New Roman;Times;Serif"/>
          <w:b w:val="false"/>
          <w:i w:val="false"/>
          <w:caps w:val="false"/>
          <w:smallCaps w:val="false"/>
          <w:sz w:val="20"/>
        </w:rPr>
        <w:t>3,500).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forfeitures as they occur. No forfeitures of PSUs were recognized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06" w:name="xdx_895_eus-gaap--ScheduleOfNonvestedRes"/>
      <w:bookmarkEnd w:id="1006"/>
      <w:r>
        <w:rPr>
          <w:rFonts w:ascii="Times New Roman;Times;Serif" w:hAnsi="Times New Roman;Times;Serif"/>
          <w:b w:val="false"/>
          <w:i w:val="false"/>
          <w:caps w:val="false"/>
          <w:smallCaps w:val="false"/>
          <w:sz w:val="20"/>
        </w:rPr>
        <w:t>The following table summarizes PSU activity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1007" w:name="xdx_8B5_zPzACivl6Jaf"/>
      <w:bookmarkEnd w:id="1007"/>
      <w:r>
        <w:rPr>
          <w:rFonts w:ascii="Times New Roman;Times;Serif" w:hAnsi="Times New Roman;Times;Serif"/>
          <w:b w:val="false"/>
          <w:i w:val="false"/>
          <w:caps w:val="false"/>
          <w:smallCaps w:val="false"/>
          <w:sz w:val="20"/>
        </w:rPr>
        <w:t xml:space="preserve">SCHEDULE OF NON VESTED RESTRICTED ACTIVITY </w:t>
      </w:r>
    </w:p>
    <w:tbl>
      <w:tblPr>
        <w:tblW w:w="6947" w:type="dxa"/>
        <w:jc w:val="left"/>
        <w:tblInd w:w="0" w:type="dxa"/>
        <w:tblLayout w:type="fixed"/>
        <w:tblCellMar>
          <w:top w:w="0" w:type="dxa"/>
          <w:left w:w="0" w:type="dxa"/>
          <w:bottom w:w="0" w:type="dxa"/>
          <w:right w:w="0" w:type="dxa"/>
        </w:tblCellMar>
      </w:tblPr>
      <w:tblGrid>
        <w:gridCol w:w="2945"/>
        <w:gridCol w:w="60"/>
        <w:gridCol w:w="127"/>
        <w:gridCol w:w="1482"/>
        <w:gridCol w:w="60"/>
        <w:gridCol w:w="60"/>
        <w:gridCol w:w="69"/>
        <w:gridCol w:w="985"/>
        <w:gridCol w:w="60"/>
        <w:gridCol w:w="60"/>
        <w:gridCol w:w="63"/>
        <w:gridCol w:w="901"/>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8" w:name="xdx_4B1_us-gaap--AwardTypeAxis_us-gaap--"/>
            <w:bookmarkEnd w:id="1008"/>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PSUs – Stock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9" w:name="xdx_4B1_us-gaap--AwardTypeAxis_custom--P"/>
            <w:bookmarkEnd w:id="1009"/>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PSUs - AUM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0" w:name="xdx_4B7_z6gdl80meDdd"/>
            <w:bookmarkEnd w:id="1010"/>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PSUs</w:t>
            </w:r>
          </w:p>
        </w:tc>
        <w:tc>
          <w:tcPr>
            <w:tcW w:w="75" w:type="dxa"/>
            <w:tcBorders/>
            <w:vAlign w:val="center"/>
          </w:tcPr>
          <w:p>
            <w:pPr>
              <w:pStyle w:val="TableContents"/>
              <w:bidi w:val="0"/>
              <w:spacing w:before="0" w:after="283"/>
              <w:jc w:val="left"/>
              <w:rPr/>
            </w:pPr>
            <w:r>
              <w:rPr/>
              <w:t> </w:t>
            </w:r>
            <w:bookmarkStart w:id="1011" w:name="xdx_431_c20260101__20260331_eus-gaap--Sh"/>
            <w:bookmarkEnd w:id="1011"/>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Nonvested as of December 31, 2025</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1012" w:name="xdx_403_eus-gaap--ShareBasedCompensation"/>
            <w:bookmarkEnd w:id="1012"/>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1,500,000</w:t>
            </w:r>
          </w:p>
        </w:tc>
        <w:tc>
          <w:tcPr>
            <w:tcW w:w="75" w:type="dxa"/>
            <w:tcBorders/>
            <w:shd w:fill="FFFFFF" w:val="clear"/>
            <w:vAlign w:val="center"/>
          </w:tcPr>
          <w:p>
            <w:pPr>
              <w:pStyle w:val="TableContents"/>
              <w:bidi w:val="0"/>
              <w:spacing w:before="0" w:after="283"/>
              <w:jc w:val="left"/>
              <w:rPr/>
            </w:pPr>
            <w:r>
              <w:rPr/>
              <w:t> </w:t>
            </w:r>
            <w:bookmarkStart w:id="1013" w:name="xdx_409_eus-gaap--SharebasedCompensation"/>
            <w:bookmarkEnd w:id="1013"/>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issued</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1014" w:name="xdx_409_eus-gaap--SharebasedCompensation"/>
            <w:bookmarkEnd w:id="1014"/>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1015" w:name="xdx_43A_c20260101__20260331_eus-gaap--Sh"/>
            <w:bookmarkEnd w:id="1015"/>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Nonvested as of March 31, 2026</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16" w:name="xdx_8AE_ztAW6GHxoWSh"/>
      <w:bookmarkEnd w:id="101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excludes (i) performance-based restricted stock units tied to Organic Gross Revenue Growth targets, under which certain consultants may earn additional units annually based on achievement of annual revenue growth targets established and certified by the Compensation Committee, as the number of units issuable is not determinable until the applicable targets are set, and (ii) PSU grants to four third-party consultants, involving an aggregate of up to approximately 910,000 units tied to cumulative gross revenue and token-related performance milestones, that have not been approved by the Board of Directors or the Compensation Committee as of March 31, 2026 and are therefore not considered granted under ASC 718.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ViralClear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2019 Long-Term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w:t>
      </w:r>
      <w:bookmarkStart w:id="1017" w:name="xdx_906_eus-gaap--CommonStockCapitalShar"/>
      <w:bookmarkEnd w:id="1017"/>
      <w:r>
        <w:rPr>
          <w:rFonts w:ascii="Times New Roman;Times;Serif" w:hAnsi="Times New Roman;Times;Serif"/>
          <w:b w:val="false"/>
          <w:i w:val="false"/>
          <w:caps w:val="false"/>
          <w:smallCaps w:val="false"/>
          <w:sz w:val="20"/>
        </w:rPr>
        <w:t>2,915,071 shares remaining available for future issuance of awards under the terms of the ViralClear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 (ViralClear)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8" w:name="xdx_896_eus-gaap--ScheduleOfStockholders"/>
      <w:bookmarkEnd w:id="1018"/>
      <w:r>
        <w:rPr>
          <w:rFonts w:ascii="Times New Roman;Times;Serif" w:hAnsi="Times New Roman;Times;Serif"/>
          <w:b w:val="false"/>
          <w:i w:val="false"/>
          <w:caps w:val="false"/>
          <w:smallCaps w:val="false"/>
          <w:sz w:val="20"/>
        </w:rPr>
        <w:t>A summary of the warrant activity for three months ended March 31, 2026 is as follows:</w:t>
      </w:r>
    </w:p>
    <w:p>
      <w:pPr>
        <w:pStyle w:val="TextBody"/>
        <w:bidi w:val="0"/>
        <w:spacing w:before="0" w:after="0"/>
        <w:ind w:left="0" w:right="0" w:hanging="0"/>
        <w:jc w:val="both"/>
        <w:rPr>
          <w:caps w:val="false"/>
          <w:smallCaps w:val="false"/>
        </w:rPr>
      </w:pPr>
      <w:r>
        <w:rPr>
          <w:caps w:val="false"/>
          <w:smallCaps w:val="false"/>
        </w:rPr>
        <w:t> </w:t>
      </w:r>
      <w:bookmarkStart w:id="1019" w:name="xdx_8B2_zSukFxSYxGCj"/>
      <w:bookmarkEnd w:id="1019"/>
      <w:r>
        <w:rPr>
          <w:rFonts w:ascii="Times New Roman;Times;Serif" w:hAnsi="Times New Roman;Times;Serif"/>
          <w:b w:val="false"/>
          <w:i w:val="false"/>
          <w:caps w:val="false"/>
          <w:smallCaps w:val="false"/>
          <w:sz w:val="20"/>
        </w:rPr>
        <w:t>SUMMARY OF WARRANT ACTIVITY</w:t>
      </w:r>
    </w:p>
    <w:tbl>
      <w:tblPr>
        <w:tblW w:w="8075" w:type="dxa"/>
        <w:jc w:val="left"/>
        <w:tblInd w:w="0" w:type="dxa"/>
        <w:tblLayout w:type="fixed"/>
        <w:tblCellMar>
          <w:top w:w="0" w:type="dxa"/>
          <w:left w:w="0" w:type="dxa"/>
          <w:bottom w:w="0" w:type="dxa"/>
          <w:right w:w="0" w:type="dxa"/>
        </w:tblCellMar>
      </w:tblPr>
      <w:tblGrid>
        <w:gridCol w:w="2990"/>
        <w:gridCol w:w="60"/>
        <w:gridCol w:w="60"/>
        <w:gridCol w:w="800"/>
        <w:gridCol w:w="60"/>
        <w:gridCol w:w="60"/>
        <w:gridCol w:w="464"/>
        <w:gridCol w:w="1461"/>
        <w:gridCol w:w="60"/>
        <w:gridCol w:w="60"/>
        <w:gridCol w:w="303"/>
        <w:gridCol w:w="1622"/>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Weighted-Average</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Remaining</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Weighted-Average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b/>
              </w:rPr>
            </w:pPr>
            <w:r>
              <w:rPr>
                <w:b/>
              </w:rPr>
              <w:t>Contractual</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Term</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20" w:name="xdx_98B_eus-gaap--ShareBasedCompensation"/>
            <w:bookmarkEnd w:id="1020"/>
          </w:p>
        </w:tc>
        <w:tc>
          <w:tcPr>
            <w:tcW w:w="800" w:type="dxa"/>
            <w:tcBorders/>
            <w:shd w:fill="CCEEFF" w:val="clear"/>
            <w:vAlign w:val="center"/>
          </w:tcPr>
          <w:p>
            <w:pPr>
              <w:pStyle w:val="TableContents"/>
              <w:bidi w:val="0"/>
              <w:spacing w:before="0" w:after="283"/>
              <w:jc w:val="right"/>
              <w:rPr/>
            </w:pPr>
            <w:r>
              <w:rPr/>
              <w:t>473,772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bookmarkStart w:id="1021" w:name="xdx_981_eus-gaap--ShareBasedCompensation"/>
            <w:bookmarkEnd w:id="1021"/>
          </w:p>
        </w:tc>
        <w:tc>
          <w:tcPr>
            <w:tcW w:w="1461"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bookmarkStart w:id="1022" w:name="xdx_98D_ecustom--WarrantsOutstandingWeig"/>
            <w:bookmarkEnd w:id="1022"/>
          </w:p>
        </w:tc>
        <w:tc>
          <w:tcPr>
            <w:tcW w:w="1622"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Forfeited/expired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23" w:name="xdx_988_eus-gaap--ShareBasedCompensation"/>
            <w:bookmarkEnd w:id="1023"/>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24" w:name="xdx_98A_eus-gaap--ShareBasedCompensation"/>
            <w:bookmarkEnd w:id="1024"/>
          </w:p>
        </w:tc>
        <w:tc>
          <w:tcPr>
            <w:tcW w:w="14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25" w:name="xdx_98D_eus-gaap--ShareBasedCompensation"/>
            <w:bookmarkEnd w:id="1025"/>
          </w:p>
        </w:tc>
        <w:tc>
          <w:tcPr>
            <w:tcW w:w="800" w:type="dxa"/>
            <w:tcBorders/>
            <w:shd w:fill="CCEEFF" w:val="clear"/>
            <w:vAlign w:val="center"/>
          </w:tcPr>
          <w:p>
            <w:pPr>
              <w:pStyle w:val="TableContents"/>
              <w:bidi w:val="0"/>
              <w:spacing w:before="0" w:after="283"/>
              <w:jc w:val="right"/>
              <w:rPr/>
            </w:pPr>
            <w:r>
              <w:rPr/>
              <w:t>473,772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w:t>
            </w:r>
            <w:bookmarkStart w:id="1026" w:name="xdx_983_eus-gaap--ShareBasedCompensation"/>
            <w:bookmarkEnd w:id="1026"/>
          </w:p>
        </w:tc>
        <w:tc>
          <w:tcPr>
            <w:tcW w:w="1461"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bookmarkStart w:id="1027" w:name="xdx_98D_ecustom--WarrantsVestedAndExpect"/>
            <w:bookmarkEnd w:id="1027"/>
          </w:p>
        </w:tc>
        <w:tc>
          <w:tcPr>
            <w:tcW w:w="1622" w:type="dxa"/>
            <w:tcBorders/>
            <w:shd w:fill="CCEEFF" w:val="cle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Exercisable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28" w:name="xdx_981_ecustom--ClassOfWarrantsOrRights"/>
            <w:bookmarkEnd w:id="1028"/>
          </w:p>
        </w:tc>
        <w:tc>
          <w:tcPr>
            <w:tcW w:w="800" w:type="dxa"/>
            <w:tcBorders/>
            <w:shd w:fill="FFFFFF" w:val="clear"/>
            <w:vAlign w:val="center"/>
          </w:tcPr>
          <w:p>
            <w:pPr>
              <w:pStyle w:val="TableContents"/>
              <w:bidi w:val="0"/>
              <w:spacing w:before="0" w:after="283"/>
              <w:jc w:val="right"/>
              <w:rPr/>
            </w:pPr>
            <w:r>
              <w:rPr/>
              <w:t>473,772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w:t>
            </w:r>
            <w:bookmarkStart w:id="1029" w:name="xdx_980_ecustom--ClassOfWarrantOrRightsW"/>
            <w:bookmarkEnd w:id="1029"/>
          </w:p>
        </w:tc>
        <w:tc>
          <w:tcPr>
            <w:tcW w:w="1461"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bookmarkStart w:id="1030" w:name="xdx_981_ecustom--WarrantsExercisableWeig"/>
            <w:bookmarkEnd w:id="1030"/>
          </w:p>
        </w:tc>
        <w:tc>
          <w:tcPr>
            <w:tcW w:w="1622" w:type="dxa"/>
            <w:tcBorders/>
            <w:shd w:fill="FFFFFF" w:val="clear"/>
            <w:vAlign w:val="center"/>
          </w:tcPr>
          <w:p>
            <w:pPr>
              <w:pStyle w:val="TableContents"/>
              <w:bidi w:val="0"/>
              <w:spacing w:before="0" w:after="283"/>
              <w:jc w:val="right"/>
              <w:rPr/>
            </w:pPr>
            <w:r>
              <w:rPr/>
              <w:t>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31" w:name="xdx_8AA_zxMo0UhpdlNb"/>
      <w:bookmarkEnd w:id="103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32" w:name="xdx_899_ecustom--ScheduleOfWarrants_zC8r"/>
      <w:bookmarkEnd w:id="1032"/>
      <w:r>
        <w:rPr>
          <w:rFonts w:ascii="Times New Roman;Times;Serif" w:hAnsi="Times New Roman;Times;Serif"/>
          <w:b w:val="false"/>
          <w:i w:val="false"/>
          <w:caps w:val="false"/>
          <w:smallCaps w:val="false"/>
          <w:sz w:val="20"/>
        </w:rPr>
        <w:t>The following table presents information related to warrants (ViralClear) at March 31, 2026:</w:t>
      </w:r>
    </w:p>
    <w:p>
      <w:pPr>
        <w:pStyle w:val="TextBody"/>
        <w:bidi w:val="0"/>
        <w:spacing w:before="0" w:after="0"/>
        <w:ind w:left="0" w:right="0" w:hanging="0"/>
        <w:jc w:val="both"/>
        <w:rPr>
          <w:caps w:val="false"/>
          <w:smallCaps w:val="false"/>
        </w:rPr>
      </w:pPr>
      <w:r>
        <w:rPr>
          <w:caps w:val="false"/>
          <w:smallCaps w:val="false"/>
        </w:rPr>
        <w:t> </w:t>
      </w:r>
      <w:bookmarkStart w:id="1033" w:name="xdx_8BD_z23V2QqTjDLd"/>
      <w:bookmarkEnd w:id="1033"/>
      <w:r>
        <w:rPr>
          <w:rFonts w:ascii="Times New Roman;Times;Serif" w:hAnsi="Times New Roman;Times;Serif"/>
          <w:b w:val="false"/>
          <w:i w:val="false"/>
          <w:caps w:val="false"/>
          <w:smallCaps w:val="false"/>
          <w:sz w:val="20"/>
        </w:rPr>
        <w:t>SCHEDULE OF RELATED TO WARRANTS</w:t>
      </w:r>
    </w:p>
    <w:tbl>
      <w:tblPr>
        <w:tblW w:w="3870" w:type="dxa"/>
        <w:jc w:val="left"/>
        <w:tblInd w:w="0" w:type="dxa"/>
        <w:tblLayout w:type="fixed"/>
        <w:tblCellMar>
          <w:top w:w="0" w:type="dxa"/>
          <w:left w:w="0" w:type="dxa"/>
          <w:bottom w:w="0" w:type="dxa"/>
          <w:right w:w="0" w:type="dxa"/>
        </w:tblCellMar>
      </w:tblPr>
      <w:tblGrid>
        <w:gridCol w:w="231"/>
        <w:gridCol w:w="659"/>
        <w:gridCol w:w="60"/>
        <w:gridCol w:w="60"/>
        <w:gridCol w:w="89"/>
        <w:gridCol w:w="1191"/>
        <w:gridCol w:w="60"/>
        <w:gridCol w:w="60"/>
        <w:gridCol w:w="60"/>
        <w:gridCol w:w="1325"/>
        <w:gridCol w:w="75"/>
      </w:tblGrid>
      <w:tr>
        <w:trPr/>
        <w:tc>
          <w:tcPr>
            <w:tcW w:w="89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Expiration</w:t>
            </w:r>
          </w:p>
        </w:tc>
        <w:tc>
          <w:tcPr>
            <w:tcW w:w="75" w:type="dxa"/>
            <w:tcBorders/>
            <w:vAlign w:val="center"/>
          </w:tcPr>
          <w:p>
            <w:pPr>
              <w:pStyle w:val="TableContents"/>
              <w:bidi w:val="0"/>
              <w:spacing w:before="0" w:after="283"/>
              <w:jc w:val="left"/>
              <w:rPr/>
            </w:pPr>
            <w:r>
              <w:rPr/>
              <w:t> </w:t>
            </w:r>
          </w:p>
        </w:tc>
      </w:tr>
      <w:tr>
        <w:trPr/>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Date</w:t>
            </w:r>
          </w:p>
        </w:tc>
        <w:tc>
          <w:tcPr>
            <w:tcW w:w="75" w:type="dxa"/>
            <w:tcBorders/>
            <w:vAlign w:val="center"/>
          </w:tcPr>
          <w:p>
            <w:pPr>
              <w:pStyle w:val="TableContents"/>
              <w:bidi w:val="0"/>
              <w:spacing w:before="0" w:after="283"/>
              <w:jc w:val="left"/>
              <w:rPr/>
            </w:pPr>
            <w:r>
              <w:rPr/>
              <w:t> </w:t>
            </w:r>
          </w:p>
        </w:tc>
      </w:tr>
      <w:tr>
        <w:trPr/>
        <w:tc>
          <w:tcPr>
            <w:tcW w:w="231" w:type="dxa"/>
            <w:tcBorders/>
            <w:shd w:fill="CCEEFF" w:val="clear"/>
            <w:vAlign w:val="center"/>
          </w:tcPr>
          <w:p>
            <w:pPr>
              <w:pStyle w:val="TableContents"/>
              <w:bidi w:val="0"/>
              <w:spacing w:before="0" w:after="283"/>
              <w:jc w:val="left"/>
              <w:rPr/>
            </w:pPr>
            <w:r>
              <w:rPr/>
              <w:t>$</w:t>
            </w:r>
            <w:bookmarkStart w:id="1034" w:name="xdx_98E_eus-gaap--ClassOfWarrantOrRightE"/>
            <w:bookmarkEnd w:id="1034"/>
          </w:p>
        </w:tc>
        <w:tc>
          <w:tcPr>
            <w:tcW w:w="659"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1035" w:name="xdx_985_ecustom--ClassOfWarrantsOrRightO"/>
            <w:bookmarkEnd w:id="1035"/>
          </w:p>
        </w:tc>
        <w:tc>
          <w:tcPr>
            <w:tcW w:w="1191" w:type="dxa"/>
            <w:tcBorders/>
            <w:shd w:fill="CCEEFF" w:val="clear"/>
            <w:vAlign w:val="center"/>
          </w:tcPr>
          <w:p>
            <w:pPr>
              <w:pStyle w:val="TableContents"/>
              <w:bidi w:val="0"/>
              <w:spacing w:before="0" w:after="283"/>
              <w:jc w:val="right"/>
              <w:rPr/>
            </w:pPr>
            <w:r>
              <w:rPr/>
              <w:t>473,772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36" w:name="xdx_989_ecustom--WarrantsExpirationDateD"/>
            <w:bookmarkEnd w:id="1036"/>
          </w:p>
        </w:tc>
        <w:tc>
          <w:tcPr>
            <w:tcW w:w="13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2027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37" w:name="xdx_8AD_zSns4zZDNYse"/>
      <w:bookmarkEnd w:id="103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(ViralClear)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38" w:name="xdx_893_eus-gaap--ScheduleOfNonvestedRes"/>
      <w:bookmarkEnd w:id="1038"/>
      <w:r>
        <w:rPr>
          <w:rFonts w:ascii="Times New Roman;Times;Serif" w:hAnsi="Times New Roman;Times;Serif"/>
          <w:b w:val="false"/>
          <w:i w:val="false"/>
          <w:caps w:val="false"/>
          <w:smallCaps w:val="false"/>
          <w:sz w:val="20"/>
        </w:rPr>
        <w:t>The following table summarizes the restricted stock activity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1039" w:name="xdx_8B0_zJo0IECwI584"/>
      <w:bookmarkEnd w:id="1039"/>
      <w:r>
        <w:rPr>
          <w:rFonts w:ascii="Times New Roman;Times;Serif" w:hAnsi="Times New Roman;Times;Serif"/>
          <w:b w:val="false"/>
          <w:i w:val="false"/>
          <w:caps w:val="false"/>
          <w:smallCaps w:val="false"/>
          <w:sz w:val="20"/>
        </w:rPr>
        <w:t xml:space="preserve">SCHEDULE OF NON VESTED RESTRICTED ACTIVITY </w:t>
      </w:r>
    </w:p>
    <w:tbl>
      <w:tblPr>
        <w:tblW w:w="6100" w:type="dxa"/>
        <w:jc w:val="left"/>
        <w:tblInd w:w="0" w:type="dxa"/>
        <w:tblLayout w:type="fixed"/>
        <w:tblCellMar>
          <w:top w:w="0" w:type="dxa"/>
          <w:left w:w="0" w:type="dxa"/>
          <w:bottom w:w="0" w:type="dxa"/>
          <w:right w:w="0" w:type="dxa"/>
        </w:tblCellMar>
      </w:tblPr>
      <w:tblGrid>
        <w:gridCol w:w="5105"/>
        <w:gridCol w:w="60"/>
        <w:gridCol w:w="60"/>
        <w:gridCol w:w="800"/>
        <w:gridCol w:w="75"/>
      </w:tblGrid>
      <w:tr>
        <w:trPr/>
        <w:tc>
          <w:tcPr>
            <w:tcW w:w="5105" w:type="dxa"/>
            <w:tcBorders/>
            <w:shd w:fill="CCEEFF" w:val="clear"/>
            <w:vAlign w:val="center"/>
          </w:tcPr>
          <w:p>
            <w:pPr>
              <w:pStyle w:val="TableContents"/>
              <w:bidi w:val="0"/>
              <w:spacing w:before="0" w:after="283"/>
              <w:jc w:val="left"/>
              <w:rPr/>
            </w:pPr>
            <w:r>
              <w:rPr/>
              <w:t>Restricted shares outstanding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40" w:name="xdx_980_ecustom--SharebasedCompensationA"/>
            <w:bookmarkEnd w:id="1040"/>
          </w:p>
        </w:tc>
        <w:tc>
          <w:tcPr>
            <w:tcW w:w="800" w:type="dxa"/>
            <w:tcBorders/>
            <w:shd w:fill="CCEEFF" w:val="clear"/>
            <w:vAlign w:val="center"/>
          </w:tcPr>
          <w:p>
            <w:pPr>
              <w:pStyle w:val="TableContents"/>
              <w:bidi w:val="0"/>
              <w:spacing w:before="0" w:after="283"/>
              <w:jc w:val="right"/>
              <w:rPr/>
            </w:pPr>
            <w:r>
              <w:rPr/>
              <w:t>678,679</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41" w:name="xdx_982_eus-gaap--ShareBasedCompensation"/>
            <w:bookmarkEnd w:id="1041"/>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Total restricted shares outstanding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042" w:name="xdx_98B_ecustom--SharebasedCompensationA"/>
            <w:bookmarkEnd w:id="1042"/>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678,679</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Comprised of: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Vested restricted shares as of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43" w:name="xdx_983_ecustom--ShareBasedCompensationA"/>
            <w:bookmarkEnd w:id="1043"/>
          </w:p>
        </w:tc>
        <w:tc>
          <w:tcPr>
            <w:tcW w:w="800" w:type="dxa"/>
            <w:tcBorders/>
            <w:shd w:fill="FFFFFF" w:val="clear"/>
            <w:vAlign w:val="center"/>
          </w:tcPr>
          <w:p>
            <w:pPr>
              <w:pStyle w:val="TableContents"/>
              <w:bidi w:val="0"/>
              <w:spacing w:before="0" w:after="283"/>
              <w:jc w:val="right"/>
              <w:rPr/>
            </w:pPr>
            <w:r>
              <w:rPr/>
              <w:t>678,679</w:t>
            </w:r>
          </w:p>
        </w:tc>
        <w:tc>
          <w:tcPr>
            <w:tcW w:w="7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283"/>
              <w:jc w:val="left"/>
              <w:rPr/>
            </w:pPr>
            <w:r>
              <w:rPr/>
              <w:t>Unvested restricted shares as of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44" w:name="xdx_988_ecustom--ShareBasedCompensationA"/>
            <w:bookmarkEnd w:id="1044"/>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45" w:name="xdx_98A_ecustom--ShareBasedCompensationA"/>
            <w:bookmarkEnd w:id="1045"/>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678,679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46" w:name="xdx_8A9_zlwmmZqJ7NZ4"/>
      <w:bookmarkEnd w:id="1046"/>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BioSig AI Sciences,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 (BioSig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47" w:name="xdx_894_ecustom--ScheduleOfOutstandingWa"/>
      <w:bookmarkEnd w:id="1047"/>
      <w:r>
        <w:rPr>
          <w:rFonts w:ascii="Times New Roman;Times;Serif" w:hAnsi="Times New Roman;Times;Serif"/>
          <w:b w:val="false"/>
          <w:i w:val="false"/>
          <w:caps w:val="false"/>
          <w:smallCaps w:val="false"/>
          <w:sz w:val="20"/>
        </w:rPr>
        <w:t>The following table summarizes information with respect to outstanding warrants to purchase common stock of BioSig AI at March 31, 2026:</w:t>
      </w:r>
    </w:p>
    <w:p>
      <w:pPr>
        <w:pStyle w:val="TextBody"/>
        <w:bidi w:val="0"/>
        <w:spacing w:before="0" w:after="0"/>
        <w:ind w:left="0" w:right="0" w:hanging="0"/>
        <w:jc w:val="both"/>
        <w:rPr>
          <w:caps w:val="false"/>
          <w:smallCaps w:val="false"/>
        </w:rPr>
      </w:pPr>
      <w:r>
        <w:rPr>
          <w:caps w:val="false"/>
          <w:smallCaps w:val="false"/>
        </w:rPr>
        <w:t> </w:t>
      </w:r>
      <w:bookmarkStart w:id="1048" w:name="xdx_8B0_zY7zYTTH2oc"/>
      <w:bookmarkEnd w:id="1048"/>
      <w:r>
        <w:rPr>
          <w:rFonts w:ascii="Times New Roman;Times;Serif" w:hAnsi="Times New Roman;Times;Serif"/>
          <w:b w:val="false"/>
          <w:i w:val="false"/>
          <w:caps w:val="false"/>
          <w:smallCaps w:val="false"/>
          <w:sz w:val="20"/>
        </w:rPr>
        <w:t>SCHEDULE OF OUTSTANDING TO WARRANTS</w:t>
      </w:r>
    </w:p>
    <w:tbl>
      <w:tblPr>
        <w:tblW w:w="3810" w:type="dxa"/>
        <w:jc w:val="left"/>
        <w:tblInd w:w="0" w:type="dxa"/>
        <w:tblLayout w:type="fixed"/>
        <w:tblCellMar>
          <w:top w:w="0" w:type="dxa"/>
          <w:left w:w="0" w:type="dxa"/>
          <w:bottom w:w="0" w:type="dxa"/>
          <w:right w:w="0" w:type="dxa"/>
        </w:tblCellMar>
      </w:tblPr>
      <w:tblGrid>
        <w:gridCol w:w="231"/>
        <w:gridCol w:w="659"/>
        <w:gridCol w:w="60"/>
        <w:gridCol w:w="60"/>
        <w:gridCol w:w="89"/>
        <w:gridCol w:w="1191"/>
        <w:gridCol w:w="60"/>
        <w:gridCol w:w="60"/>
        <w:gridCol w:w="60"/>
        <w:gridCol w:w="1265"/>
        <w:gridCol w:w="75"/>
      </w:tblGrid>
      <w:tr>
        <w:trPr/>
        <w:tc>
          <w:tcPr>
            <w:tcW w:w="89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Expiration</w:t>
            </w:r>
          </w:p>
        </w:tc>
        <w:tc>
          <w:tcPr>
            <w:tcW w:w="75" w:type="dxa"/>
            <w:tcBorders/>
            <w:vAlign w:val="center"/>
          </w:tcPr>
          <w:p>
            <w:pPr>
              <w:pStyle w:val="TableContents"/>
              <w:bidi w:val="0"/>
              <w:spacing w:before="0" w:after="283"/>
              <w:jc w:val="left"/>
              <w:rPr/>
            </w:pPr>
            <w:r>
              <w:rPr/>
              <w:t> </w:t>
            </w:r>
          </w:p>
        </w:tc>
      </w:tr>
      <w:tr>
        <w:trPr/>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Date</w:t>
            </w:r>
          </w:p>
        </w:tc>
        <w:tc>
          <w:tcPr>
            <w:tcW w:w="75" w:type="dxa"/>
            <w:tcBorders/>
            <w:vAlign w:val="center"/>
          </w:tcPr>
          <w:p>
            <w:pPr>
              <w:pStyle w:val="TableContents"/>
              <w:bidi w:val="0"/>
              <w:spacing w:before="0" w:after="283"/>
              <w:jc w:val="left"/>
              <w:rPr/>
            </w:pPr>
            <w:r>
              <w:rPr/>
              <w:t> </w:t>
            </w:r>
          </w:p>
        </w:tc>
      </w:tr>
      <w:tr>
        <w:trPr/>
        <w:tc>
          <w:tcPr>
            <w:tcW w:w="231" w:type="dxa"/>
            <w:tcBorders/>
            <w:shd w:fill="CCEEFF" w:val="clear"/>
            <w:vAlign w:val="center"/>
          </w:tcPr>
          <w:p>
            <w:pPr>
              <w:pStyle w:val="TableContents"/>
              <w:bidi w:val="0"/>
              <w:spacing w:before="0" w:after="283"/>
              <w:jc w:val="left"/>
              <w:rPr/>
            </w:pPr>
            <w:r>
              <w:rPr/>
              <w:t>$</w:t>
            </w:r>
            <w:bookmarkStart w:id="1049" w:name="xdx_987_eus-gaap--ClassOfWarrantOrRightE"/>
            <w:bookmarkEnd w:id="1049"/>
          </w:p>
        </w:tc>
        <w:tc>
          <w:tcPr>
            <w:tcW w:w="659"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bookmarkStart w:id="1050" w:name="xdx_98A_ecustom--ClassOfWarrantsOrRightO"/>
            <w:bookmarkEnd w:id="1050"/>
          </w:p>
        </w:tc>
        <w:tc>
          <w:tcPr>
            <w:tcW w:w="1191" w:type="dxa"/>
            <w:tcBorders/>
            <w:shd w:fill="CCEEFF" w:val="clear"/>
            <w:vAlign w:val="center"/>
          </w:tcPr>
          <w:p>
            <w:pPr>
              <w:pStyle w:val="TableContents"/>
              <w:bidi w:val="0"/>
              <w:spacing w:before="0" w:after="283"/>
              <w:jc w:val="right"/>
              <w:rPr/>
            </w:pPr>
            <w:r>
              <w:rPr/>
              <w:t>130,500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June-July 2028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51" w:name="xdx_807_eus-gaap--MinorityInterestDisclo"/>
      <w:bookmarkEnd w:id="1051"/>
      <w:r>
        <w:rPr>
          <w:rFonts w:ascii="Times New Roman;Times;Serif" w:hAnsi="Times New Roman;Times;Serif"/>
          <w:b/>
          <w:i w:val="false"/>
          <w:caps w:val="false"/>
          <w:smallCaps w:val="false"/>
          <w:sz w:val="20"/>
        </w:rPr>
        <w:t xml:space="preserve">NOTE 15 – </w:t>
      </w:r>
      <w:bookmarkStart w:id="1052" w:name="xdx_82C_zDbIEtRD67B2"/>
      <w:bookmarkEnd w:id="1052"/>
      <w:r>
        <w:rPr>
          <w:rFonts w:ascii="Times New Roman;Times;Serif" w:hAnsi="Times New Roman;Times;Serif"/>
          <w:b/>
          <w:i w:val="false"/>
          <w:caps w:val="false"/>
          <w:smallCaps w:val="false"/>
          <w:sz w:val="20"/>
        </w:rPr>
        <w:t>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December 31, 2025, the Company had a majority interest in ViralClear of approximately </w:t>
      </w:r>
      <w:bookmarkStart w:id="1053" w:name="xdx_90C_eus-gaap--EquityMethodInvestment"/>
      <w:bookmarkStart w:id="1054" w:name="xdx_905_eus-gaap--EquityMethodInvestment"/>
      <w:bookmarkEnd w:id="1053"/>
      <w:bookmarkEnd w:id="1054"/>
      <w:r>
        <w:rPr>
          <w:rFonts w:ascii="Times New Roman;Times;Serif" w:hAnsi="Times New Roman;Times;Serif"/>
          <w:b w:val="false"/>
          <w:i w:val="false"/>
          <w:caps w:val="false"/>
          <w:smallCaps w:val="false"/>
          <w:sz w:val="20"/>
        </w:rPr>
        <w:t xml:space="preserve">70% for both periods. As of March 31, 2026, and December 31, 2025, the Company had a majority interest in BioSig AI of approximately </w:t>
      </w:r>
      <w:bookmarkStart w:id="1055" w:name="xdx_90C_eus-gaap--EquityMethodInvestment"/>
      <w:bookmarkStart w:id="1056" w:name="xdx_905_eus-gaap--EquityMethodInvestment"/>
      <w:bookmarkEnd w:id="1055"/>
      <w:bookmarkEnd w:id="1056"/>
      <w:r>
        <w:rPr>
          <w:rFonts w:ascii="Times New Roman;Times;Serif" w:hAnsi="Times New Roman;Times;Serif"/>
          <w:b w:val="false"/>
          <w:i w:val="false"/>
          <w:caps w:val="false"/>
          <w:smallCaps w:val="false"/>
          <w:sz w:val="20"/>
        </w:rPr>
        <w:t xml:space="preserve">84% for both periods. As of March 31, 2026, the Company consolidated Streamex Ltd. as a variable interest entity, with noncontrolling interest holders (consisting of two related party officers) holding approximately </w:t>
      </w:r>
      <w:bookmarkStart w:id="1057" w:name="xdx_90F_ecustom--VariableInterestPercent"/>
      <w:bookmarkEnd w:id="1057"/>
      <w:r>
        <w:rPr>
          <w:rFonts w:ascii="Times New Roman;Times;Serif" w:hAnsi="Times New Roman;Times;Serif"/>
          <w:b w:val="false"/>
          <w:i w:val="false"/>
          <w:caps w:val="false"/>
          <w:smallCaps w:val="false"/>
          <w:sz w:val="20"/>
        </w:rPr>
        <w:t>1.5% of the outstanding GLDY Tokens. See Note 9, Streamex Ltd. (VIE),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ViralClear Pharmaceuticals, Inc., BioSig AI Sciences, Inc. and Streamex Ltd. non-controlling loss attributable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58" w:name="xdx_893_ecustom--ScheduleOfNonControllin"/>
      <w:bookmarkEnd w:id="1058"/>
      <w:r>
        <w:rPr>
          <w:rFonts w:ascii="Times New Roman;Times;Serif" w:hAnsi="Times New Roman;Times;Serif"/>
          <w:b w:val="false"/>
          <w:i w:val="false"/>
          <w:caps w:val="false"/>
          <w:smallCaps w:val="false"/>
          <w:sz w:val="20"/>
        </w:rPr>
        <w:t>Net loss attributable to the non-controlling interest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1059" w:name="xdx_8BD_zGO9UQPCWIK9"/>
      <w:bookmarkEnd w:id="1059"/>
      <w:r>
        <w:rPr>
          <w:rFonts w:ascii="Times New Roman;Times;Serif" w:hAnsi="Times New Roman;Times;Serif"/>
          <w:b w:val="false"/>
          <w:i w:val="false"/>
          <w:caps w:val="false"/>
          <w:smallCaps w:val="false"/>
          <w:sz w:val="20"/>
        </w:rPr>
        <w:t>SCHEDULE OF NON-CONTROLLING INTEREST</w:t>
      </w:r>
    </w:p>
    <w:tbl>
      <w:tblPr>
        <w:tblW w:w="10205" w:type="dxa"/>
        <w:jc w:val="left"/>
        <w:tblInd w:w="0" w:type="dxa"/>
        <w:tblLayout w:type="fixed"/>
        <w:tblCellMar>
          <w:top w:w="0" w:type="dxa"/>
          <w:left w:w="0" w:type="dxa"/>
          <w:bottom w:w="0" w:type="dxa"/>
          <w:right w:w="0" w:type="dxa"/>
        </w:tblCellMar>
      </w:tblPr>
      <w:tblGrid>
        <w:gridCol w:w="3838"/>
        <w:gridCol w:w="60"/>
        <w:gridCol w:w="567"/>
        <w:gridCol w:w="1731"/>
        <w:gridCol w:w="185"/>
        <w:gridCol w:w="60"/>
        <w:gridCol w:w="373"/>
        <w:gridCol w:w="1141"/>
        <w:gridCol w:w="185"/>
        <w:gridCol w:w="60"/>
        <w:gridCol w:w="248"/>
        <w:gridCol w:w="789"/>
        <w:gridCol w:w="185"/>
        <w:gridCol w:w="60"/>
        <w:gridCol w:w="125"/>
        <w:gridCol w:w="395"/>
        <w:gridCol w:w="203"/>
      </w:tblGrid>
      <w:tr>
        <w:trPr/>
        <w:tc>
          <w:tcPr>
            <w:tcW w:w="383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60" w:name="xdx_498_20260101__20260331__srt--Consoli"/>
            <w:bookmarkEnd w:id="1060"/>
          </w:p>
        </w:tc>
        <w:tc>
          <w:tcPr>
            <w:tcW w:w="229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 Pharmaceuticals, Inc.</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61" w:name="xdx_499_20260101__20260331__srt--Consoli"/>
            <w:bookmarkEnd w:id="1061"/>
          </w:p>
        </w:tc>
        <w:tc>
          <w:tcPr>
            <w:tcW w:w="15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BioSig AI Sciences, Inc.</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62" w:name="xdx_495_20260101__20260331__srt--Consoli"/>
            <w:bookmarkEnd w:id="1062"/>
          </w:p>
        </w:tc>
        <w:tc>
          <w:tcPr>
            <w:tcW w:w="10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Ltd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63" w:name="xdx_492_20260101__20260331_zG902pX0lfei"/>
            <w:bookmarkEnd w:id="1063"/>
          </w:p>
        </w:tc>
        <w:tc>
          <w:tcPr>
            <w:tcW w:w="5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03" w:type="dxa"/>
            <w:tcBorders/>
            <w:vAlign w:val="center"/>
          </w:tcPr>
          <w:p>
            <w:pPr>
              <w:pStyle w:val="TableContents"/>
              <w:bidi w:val="0"/>
              <w:spacing w:before="0" w:after="283"/>
              <w:jc w:val="left"/>
              <w:rPr>
                <w:caps w:val="false"/>
                <w:smallCaps w:val="false"/>
              </w:rPr>
            </w:pPr>
            <w:r>
              <w:rPr>
                <w:caps w:val="false"/>
                <w:smallCaps w:val="false"/>
              </w:rPr>
              <w:t> </w:t>
            </w:r>
            <w:bookmarkStart w:id="1064" w:name="xdx_403_ecustom--NetIncomeLossOfNonContr"/>
            <w:bookmarkEnd w:id="1064"/>
          </w:p>
        </w:tc>
      </w:tr>
      <w:tr>
        <w:trPr/>
        <w:tc>
          <w:tcPr>
            <w:tcW w:w="3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65" w:name="xdx_F2F_zNXOLNBsaFBj"/>
            <w:bookmarkEnd w:id="1065"/>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66" w:name="xdx_40E_ecustom--AverageNoncontrollingIn"/>
            <w:bookmarkEnd w:id="1066"/>
          </w:p>
        </w:tc>
      </w:tr>
      <w:tr>
        <w:trPr/>
        <w:tc>
          <w:tcPr>
            <w:tcW w:w="383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weighted-average ownership percentage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67" w:name="xdx_903_eus-gaap--NetIncomeLossAttributa"/>
            <w:bookmarkEnd w:id="1067"/>
            <w:r>
              <w:rPr>
                <w:rFonts w:ascii="Times New Roman;Times;Serif" w:hAnsi="Times New Roman;Times;Serif"/>
                <w:b w:val="false"/>
                <w:i w:val="false"/>
                <w:caps w:val="false"/>
                <w:smallCaps w:val="false"/>
                <w:sz w:val="22"/>
              </w:rPr>
              <w:t>-</w:t>
            </w: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68" w:name="xdx_906_eus-gaap--NetIncomeLossAttributa"/>
            <w:bookmarkEnd w:id="1068"/>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69" w:name="xdx_907_eus-gaap--NetIncomeLossAttributa"/>
            <w:bookmarkEnd w:id="1069"/>
            <w:r>
              <w:rPr>
                <w:rFonts w:ascii="Times New Roman;Times;Serif" w:hAnsi="Times New Roman;Times;Serif"/>
                <w:b w:val="false"/>
                <w:i w:val="false"/>
                <w:caps w:val="false"/>
                <w:smallCaps w:val="false"/>
                <w:sz w:val="20"/>
              </w:rPr>
              <w:t>(1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70" w:name="xdx_902_eus-gaap--NetIncomeLossAttributa"/>
            <w:bookmarkEnd w:id="1070"/>
            <w:r>
              <w:rPr>
                <w:rFonts w:ascii="Times New Roman;Times;Serif" w:hAnsi="Times New Roman;Times;Serif"/>
                <w:b w:val="false"/>
                <w:i w:val="false"/>
                <w:caps w:val="false"/>
                <w:smallCaps w:val="false"/>
                <w:sz w:val="20"/>
              </w:rPr>
              <w:t>(1</w:t>
            </w:r>
          </w:p>
        </w:tc>
        <w:tc>
          <w:tcPr>
            <w:tcW w:w="2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the non-controlling interest for the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8"/>
        <w:gridCol w:w="60"/>
        <w:gridCol w:w="810"/>
        <w:gridCol w:w="1494"/>
        <w:gridCol w:w="185"/>
        <w:gridCol w:w="60"/>
        <w:gridCol w:w="535"/>
        <w:gridCol w:w="986"/>
        <w:gridCol w:w="185"/>
        <w:gridCol w:w="60"/>
        <w:gridCol w:w="634"/>
        <w:gridCol w:w="405"/>
        <w:gridCol w:w="185"/>
        <w:gridCol w:w="60"/>
        <w:gridCol w:w="170"/>
        <w:gridCol w:w="315"/>
        <w:gridCol w:w="203"/>
      </w:tblGrid>
      <w:tr>
        <w:trPr/>
        <w:tc>
          <w:tcPr>
            <w:tcW w:w="385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71" w:name="xdx_492_20250101__20250331__srt--Consoli"/>
            <w:bookmarkEnd w:id="1071"/>
          </w:p>
        </w:tc>
        <w:tc>
          <w:tcPr>
            <w:tcW w:w="23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 Pharmaceuticals, Inc.</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72" w:name="xdx_499_20250101__20250331__srt--Consoli"/>
            <w:bookmarkEnd w:id="1072"/>
          </w:p>
        </w:tc>
        <w:tc>
          <w:tcPr>
            <w:tcW w:w="15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BioSig AI Sciences, Inc.</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73" w:name="xdx_495_20250101__20250331__srt--Consoli"/>
            <w:bookmarkEnd w:id="1073"/>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Ltd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74" w:name="xdx_495_20250101__20250331_zqWXRsV1DF81"/>
            <w:bookmarkEnd w:id="1074"/>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03" w:type="dxa"/>
            <w:tcBorders/>
            <w:vAlign w:val="center"/>
          </w:tcPr>
          <w:p>
            <w:pPr>
              <w:pStyle w:val="TableContents"/>
              <w:bidi w:val="0"/>
              <w:spacing w:before="0" w:after="283"/>
              <w:jc w:val="left"/>
              <w:rPr>
                <w:caps w:val="false"/>
                <w:smallCaps w:val="false"/>
              </w:rPr>
            </w:pPr>
            <w:r>
              <w:rPr>
                <w:caps w:val="false"/>
                <w:smallCaps w:val="false"/>
              </w:rPr>
              <w:t> </w:t>
            </w:r>
            <w:bookmarkStart w:id="1075" w:name="xdx_403_ecustom--NetIncomeLossOfNonContr"/>
            <w:bookmarkEnd w:id="1075"/>
          </w:p>
        </w:tc>
      </w:tr>
      <w:tr>
        <w:trPr/>
        <w:tc>
          <w:tcPr>
            <w:tcW w:w="38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2"/>
              </w:rPr>
              <w:t>-</w:t>
            </w:r>
            <w:bookmarkStart w:id="1076" w:name="xdx_F2D_zYnqklBaU9q9"/>
            <w:bookmarkEnd w:id="1076"/>
            <w:r>
              <w:rPr>
                <w:rFonts w:ascii="Times New Roman;Times;Serif" w:hAnsi="Times New Roman;Times;Serif"/>
                <w:b w:val="false"/>
                <w:i w:val="false"/>
                <w:caps w:val="false"/>
                <w:smallCaps w:val="false"/>
                <w:sz w:val="20"/>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77" w:name="xdx_40E_ecustom--AverageNoncontrollingIn"/>
            <w:bookmarkEnd w:id="1077"/>
          </w:p>
        </w:tc>
      </w:tr>
      <w:tr>
        <w:trPr/>
        <w:tc>
          <w:tcPr>
            <w:tcW w:w="38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weighted-average ownership percentage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78" w:name="xdx_901_eus-gaap--NetIncomeLossAttributa"/>
            <w:bookmarkEnd w:id="1078"/>
            <w:r>
              <w:rPr>
                <w:rFonts w:ascii="Times New Roman;Times;Serif" w:hAnsi="Times New Roman;Times;Serif"/>
                <w:b w:val="false"/>
                <w:i w:val="false"/>
                <w:caps w:val="false"/>
                <w:smallCaps w:val="false"/>
                <w:sz w:val="22"/>
              </w:rPr>
              <w:t>-</w:t>
            </w:r>
            <w:r>
              <w:rPr>
                <w:rFonts w:ascii="Times New Roman;Times;Serif" w:hAnsi="Times New Roman;Times;Serif"/>
                <w:b w:val="false"/>
                <w:i w:val="false"/>
                <w:caps w:val="false"/>
                <w:smallCaps w:val="false"/>
                <w:sz w:val="20"/>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79" w:name="xdx_901_eus-gaap--NetIncomeLossAttributa"/>
            <w:bookmarkEnd w:id="1079"/>
            <w:r>
              <w:rPr>
                <w:rFonts w:ascii="Times New Roman;Times;Serif" w:hAnsi="Times New Roman;Times;Serif"/>
                <w:b w:val="false"/>
                <w:i w:val="false"/>
                <w:caps w:val="false"/>
                <w:smallCaps w:val="false"/>
                <w:sz w:val="20"/>
              </w:rPr>
              <w:t>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80" w:name="xdx_90F_eus-gaap--NetIncomeLossAttributa"/>
            <w:bookmarkEnd w:id="1080"/>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081" w:name="xdx_90E_eus-gaap--NetIncomeLossAttributa"/>
            <w:bookmarkEnd w:id="1081"/>
            <w:r>
              <w:rPr>
                <w:rFonts w:ascii="Times New Roman;Times;Serif" w:hAnsi="Times New Roman;Times;Serif"/>
                <w:b w:val="false"/>
                <w:i w:val="false"/>
                <w:caps w:val="false"/>
                <w:smallCaps w:val="false"/>
                <w:sz w:val="20"/>
              </w:rPr>
              <w:t>12</w:t>
            </w:r>
          </w:p>
        </w:tc>
        <w:tc>
          <w:tcPr>
            <w:tcW w:w="2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125"/>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82" w:name="xdx_F0D_zgzrKQwAzAGj"/>
            <w:bookmarkEnd w:id="1082"/>
            <w:r>
              <w:rPr>
                <w:rFonts w:ascii="Times New Roman;Times;Serif" w:hAnsi="Times New Roman;Times;Serif"/>
                <w:b w:val="false"/>
                <w:i w:val="false"/>
                <w:caps w:val="false"/>
                <w:smallCaps w:val="false"/>
                <w:sz w:val="20"/>
              </w:rPr>
              <w:t>*</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83" w:name="xdx_F14_znm7sFML8Z6e"/>
            <w:bookmarkEnd w:id="1083"/>
            <w:r>
              <w:rPr>
                <w:rFonts w:ascii="Times New Roman;Times;Serif" w:hAnsi="Times New Roman;Times;Serif"/>
                <w:b w:val="false"/>
                <w:i w:val="false"/>
                <w:caps w:val="false"/>
                <w:smallCaps w:val="false"/>
                <w:sz w:val="20"/>
              </w:rPr>
              <w:t>Less than $0.5 thousand</w:t>
            </w:r>
          </w:p>
        </w:tc>
      </w:tr>
    </w:tbl>
    <w:p>
      <w:pPr>
        <w:pStyle w:val="TextBody"/>
        <w:bidi w:val="0"/>
        <w:spacing w:before="0" w:after="0"/>
        <w:ind w:left="0" w:right="0" w:hanging="0"/>
        <w:jc w:val="both"/>
        <w:rPr>
          <w:caps w:val="false"/>
          <w:smallCaps w:val="false"/>
        </w:rPr>
      </w:pPr>
      <w:bookmarkStart w:id="1084" w:name="xdx_8AA_zr9ZxRFvOxul"/>
      <w:bookmarkEnd w:id="108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85" w:name="xdx_890_eus-gaap--ConsolidationLessThanW"/>
      <w:bookmarkEnd w:id="1085"/>
      <w:r>
        <w:rPr>
          <w:rFonts w:ascii="Times New Roman;Times;Serif" w:hAnsi="Times New Roman;Times;Serif"/>
          <w:b w:val="false"/>
          <w:i w:val="false"/>
          <w:caps w:val="false"/>
          <w:smallCaps w:val="false"/>
          <w:sz w:val="20"/>
        </w:rPr>
        <w:t>The following table summarizes the changes in non-controlling interest for the three months ended March 31, 2026:</w:t>
      </w:r>
    </w:p>
    <w:p>
      <w:pPr>
        <w:pStyle w:val="TextBody"/>
        <w:bidi w:val="0"/>
        <w:spacing w:before="0" w:after="0"/>
        <w:ind w:left="0" w:right="0" w:hanging="0"/>
        <w:jc w:val="both"/>
        <w:rPr>
          <w:caps w:val="false"/>
          <w:smallCaps w:val="false"/>
        </w:rPr>
      </w:pPr>
      <w:r>
        <w:rPr>
          <w:caps w:val="false"/>
          <w:smallCaps w:val="false"/>
        </w:rPr>
        <w:t> </w:t>
      </w:r>
      <w:bookmarkStart w:id="1086" w:name="xdx_8B9_zMwiAJW7jTyg"/>
      <w:bookmarkEnd w:id="1086"/>
      <w:r>
        <w:rPr>
          <w:rFonts w:ascii="Times New Roman;Times;Serif" w:hAnsi="Times New Roman;Times;Serif"/>
          <w:b w:val="false"/>
          <w:i w:val="false"/>
          <w:caps w:val="false"/>
          <w:smallCaps w:val="false"/>
          <w:sz w:val="20"/>
        </w:rPr>
        <w:t>SCHEDULE OF CHANGES IN NON-CONTROLLING INTEREST</w:t>
      </w:r>
    </w:p>
    <w:tbl>
      <w:tblPr>
        <w:tblW w:w="10205" w:type="dxa"/>
        <w:jc w:val="left"/>
        <w:tblInd w:w="0" w:type="dxa"/>
        <w:tblLayout w:type="fixed"/>
        <w:tblCellMar>
          <w:top w:w="0" w:type="dxa"/>
          <w:left w:w="0" w:type="dxa"/>
          <w:bottom w:w="0" w:type="dxa"/>
          <w:right w:w="0" w:type="dxa"/>
        </w:tblCellMar>
      </w:tblPr>
      <w:tblGrid>
        <w:gridCol w:w="3850"/>
        <w:gridCol w:w="60"/>
        <w:gridCol w:w="602"/>
        <w:gridCol w:w="1907"/>
        <w:gridCol w:w="80"/>
        <w:gridCol w:w="60"/>
        <w:gridCol w:w="463"/>
        <w:gridCol w:w="1246"/>
        <w:gridCol w:w="60"/>
        <w:gridCol w:w="60"/>
        <w:gridCol w:w="296"/>
        <w:gridCol w:w="797"/>
        <w:gridCol w:w="80"/>
        <w:gridCol w:w="60"/>
        <w:gridCol w:w="131"/>
        <w:gridCol w:w="354"/>
        <w:gridCol w:w="99"/>
      </w:tblGrid>
      <w:tr>
        <w:trPr/>
        <w:tc>
          <w:tcPr>
            <w:tcW w:w="38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87" w:name="xdx_4BE_srt--ConsolidatedEntitiesAxis_cu"/>
            <w:bookmarkEnd w:id="1087"/>
          </w:p>
        </w:tc>
        <w:tc>
          <w:tcPr>
            <w:tcW w:w="25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 Pharmaceuticals,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88" w:name="xdx_4BB_srt--ConsolidatedEntitiesAxis_cu"/>
            <w:bookmarkEnd w:id="1088"/>
          </w:p>
        </w:tc>
        <w:tc>
          <w:tcPr>
            <w:tcW w:w="17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BioSig AI Sciences,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89" w:name="xdx_4BA_srt--ConsolidatedEntitiesAxis_cu"/>
            <w:bookmarkEnd w:id="1089"/>
          </w:p>
        </w:tc>
        <w:tc>
          <w:tcPr>
            <w:tcW w:w="10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Ltd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90" w:name="xdx_4B5_zHEDqXqoUV5l"/>
            <w:bookmarkEnd w:id="1090"/>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9" w:type="dxa"/>
            <w:tcBorders/>
            <w:vAlign w:val="center"/>
          </w:tcPr>
          <w:p>
            <w:pPr>
              <w:pStyle w:val="TableContents"/>
              <w:bidi w:val="0"/>
              <w:spacing w:before="0" w:after="283"/>
              <w:jc w:val="left"/>
              <w:rPr>
                <w:caps w:val="false"/>
                <w:smallCaps w:val="false"/>
              </w:rPr>
            </w:pPr>
            <w:r>
              <w:rPr>
                <w:caps w:val="false"/>
                <w:smallCaps w:val="false"/>
              </w:rPr>
              <w:t> </w:t>
            </w:r>
            <w:bookmarkStart w:id="1091" w:name="xdx_43E_c20260101__20260331_eus-gaap--Mi"/>
            <w:bookmarkEnd w:id="1091"/>
          </w:p>
        </w:tc>
      </w:tr>
      <w:tr>
        <w:trPr/>
        <w:tc>
          <w:tcPr>
            <w:tcW w:w="3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January 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2" w:name="xdx_408_ecustom--IssuanceOfEquityToNonco"/>
            <w:bookmarkEnd w:id="1092"/>
          </w:p>
        </w:tc>
      </w:tr>
      <w:tr>
        <w:trPr/>
        <w:tc>
          <w:tcPr>
            <w:tcW w:w="3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equity to noncontrolling interest 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93" w:name="xdx_409_eus-gaap--NetIncomeLossAttributa"/>
            <w:bookmarkEnd w:id="1093"/>
          </w:p>
        </w:tc>
      </w:tr>
      <w:tr>
        <w:trPr/>
        <w:tc>
          <w:tcPr>
            <w:tcW w:w="3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094" w:name="xdx_430_c20260101__20260331_eus-gaap--Mi"/>
            <w:bookmarkEnd w:id="1094"/>
          </w:p>
        </w:tc>
      </w:tr>
      <w:tr>
        <w:trPr/>
        <w:tc>
          <w:tcPr>
            <w:tcW w:w="3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non-controlling interest for the three months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71"/>
        <w:gridCol w:w="60"/>
        <w:gridCol w:w="604"/>
        <w:gridCol w:w="1914"/>
        <w:gridCol w:w="80"/>
        <w:gridCol w:w="60"/>
        <w:gridCol w:w="465"/>
        <w:gridCol w:w="1252"/>
        <w:gridCol w:w="60"/>
        <w:gridCol w:w="60"/>
        <w:gridCol w:w="668"/>
        <w:gridCol w:w="427"/>
        <w:gridCol w:w="60"/>
        <w:gridCol w:w="60"/>
        <w:gridCol w:w="170"/>
        <w:gridCol w:w="315"/>
        <w:gridCol w:w="79"/>
      </w:tblGrid>
      <w:tr>
        <w:trPr/>
        <w:tc>
          <w:tcPr>
            <w:tcW w:w="387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95" w:name="xdx_4BE_srt--ConsolidatedEntitiesAxis_cu"/>
            <w:bookmarkEnd w:id="1095"/>
          </w:p>
        </w:tc>
        <w:tc>
          <w:tcPr>
            <w:tcW w:w="25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ViralClear Pharmaceuticals, Inc.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96" w:name="xdx_4BB_srt--ConsolidatedEntitiesAxis_cu"/>
            <w:bookmarkEnd w:id="1096"/>
          </w:p>
        </w:tc>
        <w:tc>
          <w:tcPr>
            <w:tcW w:w="17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BioSig AI Sciences,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97" w:name="xdx_4BA_srt--ConsolidatedEntitiesAxis_cu"/>
            <w:bookmarkEnd w:id="1097"/>
          </w:p>
        </w:tc>
        <w:tc>
          <w:tcPr>
            <w:tcW w:w="10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098" w:name="xdx_4B5_zqsMxKQcTFHf"/>
            <w:bookmarkEnd w:id="1098"/>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9" w:type="dxa"/>
            <w:tcBorders/>
            <w:vAlign w:val="center"/>
          </w:tcPr>
          <w:p>
            <w:pPr>
              <w:pStyle w:val="TableContents"/>
              <w:bidi w:val="0"/>
              <w:spacing w:before="0" w:after="283"/>
              <w:jc w:val="left"/>
              <w:rPr>
                <w:caps w:val="false"/>
                <w:smallCaps w:val="false"/>
              </w:rPr>
            </w:pPr>
            <w:r>
              <w:rPr>
                <w:caps w:val="false"/>
                <w:smallCaps w:val="false"/>
              </w:rPr>
              <w:t> </w:t>
            </w:r>
            <w:bookmarkStart w:id="1099" w:name="xdx_430_c20250101__20250331_eus-gaap--Mi"/>
            <w:bookmarkEnd w:id="1099"/>
          </w:p>
        </w:tc>
      </w:tr>
      <w:tr>
        <w:trPr/>
        <w:tc>
          <w:tcPr>
            <w:tcW w:w="38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0" w:name="xdx_409_eus-gaap--NetIncomeLossAttributa"/>
            <w:bookmarkEnd w:id="1100"/>
          </w:p>
        </w:tc>
      </w:tr>
      <w:tr>
        <w:trPr/>
        <w:tc>
          <w:tcPr>
            <w:tcW w:w="387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01" w:name="xdx_43B_c20250101__20250331_eus-gaap--Mi"/>
            <w:bookmarkEnd w:id="1101"/>
          </w:p>
        </w:tc>
      </w:tr>
      <w:tr>
        <w:trPr/>
        <w:tc>
          <w:tcPr>
            <w:tcW w:w="387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1102" w:name="xdx_8A8_z0XpaTZ0BLog"/>
      <w:bookmarkEnd w:id="110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03" w:name="xdx_803_eus-gaap--CommitmentsAndContinge"/>
      <w:bookmarkEnd w:id="1103"/>
      <w:r>
        <w:rPr>
          <w:rFonts w:ascii="Times New Roman;Times;Serif" w:hAnsi="Times New Roman;Times;Serif"/>
          <w:b/>
          <w:i w:val="false"/>
          <w:caps w:val="false"/>
          <w:smallCaps w:val="false"/>
          <w:sz w:val="20"/>
        </w:rPr>
        <w:t xml:space="preserve">NOTE 16 — </w:t>
      </w:r>
      <w:bookmarkStart w:id="1104" w:name="xdx_823_zruhzC7o1o1k"/>
      <w:bookmarkEnd w:id="1104"/>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Tokenized Yield Partnership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the Company entered into a Tokenized Yield Partnership Agreement (the “Token Agreement”) with Monetary Metals &amp; Co. (“MM”), a Delaware corporation, establishing an exclusive, multi-year strategic partnership to design, launch, and distribute blockchain-based financial products that tokenize the yield generated from MM’s precious-metal lease and bond programs. The Token Agreement commenced on September 8, 2025 and continues for an initial term of three years, subject to automatic one-year renewal periods unless terminated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the gold assets held by Streamex Ltd. and the related VIE disclosures, see Notes 8 and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Exclusivity and Performance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at least three years, MM agreed not to engage with any other party to tokenize the yield or other financial attributes of its precious-metal lease or bond products, and the Company agreed not to partner with any third party to tokenize yield derived from precious-metal leases, in each case subject to specified volume-based performance conditions. To maintain exclusivity, the Company must supply at least 10% of the total leased ounces presented by MM each quarter that meet defined criteria, including minimum insurance standards, a net yield of at least 3% per annum after origination fees, and compliance with restrictions on counterparties and jurisdictions. Failure to meet these thresholds, after a 90-day cure period, results in loss of exclusivity but does not obligate the Company to commit capital or continue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2026, the Company entered into a consulting agreement with an independent third party to provide advisory and capital markets related services in connection with the Company’s GLDY Token program. The agreement has an initial term of six months and provides for a fixed consulting fee of $</w:t>
      </w:r>
      <w:bookmarkStart w:id="1105" w:name="xdx_90E_ecustom--ConsultingFees_pn3n3_c2"/>
      <w:bookmarkEnd w:id="1105"/>
      <w:r>
        <w:rPr>
          <w:rFonts w:ascii="Times New Roman;Times;Serif" w:hAnsi="Times New Roman;Times;Serif"/>
          <w:b w:val="false"/>
          <w:i w:val="false"/>
          <w:caps w:val="false"/>
          <w:smallCaps w:val="false"/>
          <w:sz w:val="20"/>
        </w:rPr>
        <w:t>4,000, as well as potential transaction-based fees contingent upon the completion of certain activities during the term. The full $</w:t>
      </w:r>
      <w:bookmarkStart w:id="1106" w:name="xdx_90F_ecustom--BaseFees_pn3n3_c2026010"/>
      <w:bookmarkEnd w:id="1106"/>
      <w:r>
        <w:rPr>
          <w:rFonts w:ascii="Times New Roman;Times;Serif" w:hAnsi="Times New Roman;Times;Serif"/>
          <w:b w:val="false"/>
          <w:i w:val="false"/>
          <w:caps w:val="false"/>
          <w:smallCaps w:val="false"/>
          <w:sz w:val="20"/>
        </w:rPr>
        <w:t>4,000 base fee was paid during the three months ended March 31, 2026. As of March 31, 2026, the unamortized portion of $</w:t>
      </w:r>
      <w:bookmarkStart w:id="1107" w:name="xdx_90E_eus-gaap--OtherPrepaidExpenseCur"/>
      <w:bookmarkEnd w:id="1107"/>
      <w:r>
        <w:rPr>
          <w:rFonts w:ascii="Times New Roman;Times;Serif" w:hAnsi="Times New Roman;Times;Serif"/>
          <w:b w:val="false"/>
          <w:i w:val="false"/>
          <w:caps w:val="false"/>
          <w:smallCaps w:val="false"/>
          <w:sz w:val="20"/>
        </w:rPr>
        <w:t>2,785 is included in prepaid expenses and other assets on the unaudited condensed consolidated balance sheet and is being recognized ratably over the service period. No transaction-based fees were earned or payable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at times to other legal proceedings and claims, which arise in the ordinary course of our business. Although occasional adverse decisions or settlements may occur, the Company believes that the final disposition of such matters should not have a material adverse effect on its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a former advisor filed a Notice of Civil Claim in the Supreme Court of British Columbia against the Company, its wholly owned subsidiary Streamex Exchange Corporation, and certain current officers and directors. The claim alleges, among other things, breach of contract, unjust enrichment, and civil conspiracy in connection with alleged agreements relating to equity interests in Streamex Exchange Corporation prior to the Company’s acquisition of that entity. The plaintiff seeks, among other relief, specific performance, equitable compensation, and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disputes the claims and intends to defend the matter vigorously. As of March 31, 2026, no liability has been recorded in the unaudited condensed consolidated financial statements related to this matter, as management, after consultation with legal counsel, believes that a loss is not probable. The matter is in a preliminary stage and, as a result, the Company is unable to reasonably estimate the possible loss or range of loss, if any, associated with this matter at this time.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08" w:name="xdx_806_eus-gaap--SegmentReportingDisclo"/>
      <w:bookmarkEnd w:id="1108"/>
      <w:r>
        <w:rPr>
          <w:rFonts w:ascii="Times New Roman;Times;Serif" w:hAnsi="Times New Roman;Times;Serif"/>
          <w:b/>
          <w:i w:val="false"/>
          <w:caps w:val="false"/>
          <w:smallCaps w:val="false"/>
          <w:sz w:val="20"/>
        </w:rPr>
        <w:t xml:space="preserve">NOTE 17 – </w:t>
      </w:r>
      <w:bookmarkStart w:id="1109" w:name="xdx_829_zagD4P94NVX8"/>
      <w:bookmarkEnd w:id="1109"/>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Operating Decision Maker (CODM) and Segment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in connection with the acquisition of Streamex Exchange, the Company appointed Henry McPhie, former co-founder and CEO of Streamex Exchange, as its new Chief Executive Officer and a member of the Board of Directors. As a result of this leadership change, Mr. McPhie was designated as the Company’s new Chief Operating Decision Maker (“CODM”), replacing Anthony Amato, the Company’s former CEO and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change, the Company re-evaluated its operating and reportable segments based on the internal financial information reviewed by the CODM for purposes of performance assessment and resource allocation. Although the acquisition of Streamex Exchange introduced a new line of business focused on digital asset infrastructure, the CODM has not yet begun reviewing Streamex Exchange’s operating results separately for purposes of performance assessment or resource allocation. As of March 31, 2026, the CODM continues to evaluate the Company’s financial performance on a consolidated basis, and the internal reporting structure has not been modified to reflect discrete segment-level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a transitional period is appropriate given the timing of the acquisition, the pre-revenue status of Streamex Exchange, and the pending financing and shareholder approvals necessary to operationalize the Streamex Exchange platform. Accordingly, the Company has concluded that no change in reportable segments has occurred as of March 31, 2026. The Company will continue to monitor the CODM’s review practices and internal reporting structure and will update its segment disclosures in future periods if and when discrete financial information is regularly reviewed at the segment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280-10-50-34, if a change in reportable segments occurs in a future period, the Company will recast prior-period segment disclosures retrospectively to reflect the new segment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Segmentation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CODM evaluates financial performance and allocates resources on a consolidated basis. The Company manages its operations as </w:t>
      </w:r>
      <w:bookmarkStart w:id="1110" w:name="xdx_90F_eus-gaap--NumberOfReportableSegm"/>
      <w:bookmarkEnd w:id="1110"/>
      <w:r>
        <w:rPr>
          <w:rFonts w:ascii="Times New Roman;Times;Serif" w:hAnsi="Times New Roman;Times;Serif"/>
          <w:b w:val="false"/>
          <w:i w:val="false"/>
          <w:caps w:val="false"/>
          <w:smallCaps w:val="false"/>
          <w:sz w:val="20"/>
        </w:rPr>
        <w:t>one integrated business, and the CODM does not receive or review separate financial information for Streamex Exchange or any other business unit. This approach reflects the manner in which the CODM:</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Assesses performance against budgeted targets;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Forecasts future financial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Makes strategic and operational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Allocates resources across the organization.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 has determined that it operates as one reportable and operating segment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continues to evaluate whether the Streamex Exchange business may become a separate reportable segment in future periods, depending on the scale and financial significance, and the CODM’s review of discrete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Segment Performance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measure used by the CODM to assess performance is consolidated net loss, which is reviewed in conjunction with other consolidated financial metrics. The CODM also evaluates actual results against budgeted amounts and considers consolidated operating results in making decisions about research and development investments and other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assets are not separately reported to or reviewed by the CODM. Therefore, the Company does not disclose segment asset information. All assets are managed on a consolidated basis and are reported in the Company’s unaudited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disclose geographic revenue or customer concentration by segment, as such information is not reviewed by the CODM. However, this will be reassessed as operations evolve.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and Expense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11" w:name="xdx_892_eus-gaap--ScheduleOfSegmentRepor"/>
      <w:bookmarkEnd w:id="1111"/>
      <w:r>
        <w:rPr>
          <w:rFonts w:ascii="Times New Roman;Times;Serif" w:hAnsi="Times New Roman;Times;Serif"/>
          <w:b w:val="false"/>
          <w:i w:val="false"/>
          <w:caps w:val="false"/>
          <w:smallCaps w:val="false"/>
          <w:sz w:val="20"/>
        </w:rPr>
        <w:t>Information concerning the operations of the Company’s reportable segments is as follows:</w:t>
      </w:r>
    </w:p>
    <w:p>
      <w:pPr>
        <w:pStyle w:val="TextBody"/>
        <w:bidi w:val="0"/>
        <w:spacing w:before="0" w:after="0"/>
        <w:ind w:left="0" w:right="0" w:hanging="0"/>
        <w:jc w:val="both"/>
        <w:rPr>
          <w:caps w:val="false"/>
          <w:smallCaps w:val="false"/>
        </w:rPr>
      </w:pPr>
      <w:r>
        <w:rPr>
          <w:caps w:val="false"/>
          <w:smallCaps w:val="false"/>
        </w:rPr>
        <w:t> </w:t>
      </w:r>
      <w:bookmarkStart w:id="1112" w:name="xdx_8B7_zHgj2H0W4OV4"/>
      <w:bookmarkEnd w:id="1112"/>
      <w:r>
        <w:rPr>
          <w:rFonts w:ascii="Times New Roman;Times;Serif" w:hAnsi="Times New Roman;Times;Serif"/>
          <w:b w:val="false"/>
          <w:i w:val="false"/>
          <w:caps w:val="false"/>
          <w:smallCaps w:val="false"/>
          <w:sz w:val="20"/>
        </w:rPr>
        <w:t>SCHEDULE OF SEGMENT REPORTING</w:t>
      </w:r>
    </w:p>
    <w:tbl>
      <w:tblPr>
        <w:tblW w:w="10205" w:type="dxa"/>
        <w:jc w:val="left"/>
        <w:tblInd w:w="0" w:type="dxa"/>
        <w:tblLayout w:type="fixed"/>
        <w:tblCellMar>
          <w:top w:w="0" w:type="dxa"/>
          <w:left w:w="0" w:type="dxa"/>
          <w:bottom w:w="0" w:type="dxa"/>
          <w:right w:w="0" w:type="dxa"/>
        </w:tblCellMar>
      </w:tblPr>
      <w:tblGrid>
        <w:gridCol w:w="5990"/>
        <w:gridCol w:w="60"/>
        <w:gridCol w:w="309"/>
        <w:gridCol w:w="1674"/>
        <w:gridCol w:w="209"/>
        <w:gridCol w:w="132"/>
        <w:gridCol w:w="309"/>
        <w:gridCol w:w="1408"/>
        <w:gridCol w:w="114"/>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3" w:name="xdx_495_20260101__20260331__us-gaap--Sta"/>
            <w:bookmarkEnd w:id="1113"/>
          </w:p>
        </w:tc>
        <w:tc>
          <w:tcPr>
            <w:tcW w:w="19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9" w:type="dxa"/>
            <w:tcBorders/>
            <w:vAlign w:val="center"/>
          </w:tcPr>
          <w:p>
            <w:pPr>
              <w:pStyle w:val="TableContents"/>
              <w:bidi w:val="0"/>
              <w:spacing w:before="0" w:after="283"/>
              <w:jc w:val="center"/>
              <w:rPr/>
            </w:pPr>
            <w:r>
              <w:rPr/>
              <w:t> </w:t>
            </w:r>
          </w:p>
        </w:tc>
        <w:tc>
          <w:tcPr>
            <w:tcW w:w="132" w:type="dxa"/>
            <w:tcBorders/>
            <w:vAlign w:val="center"/>
          </w:tcPr>
          <w:p>
            <w:pPr>
              <w:pStyle w:val="TableContents"/>
              <w:bidi w:val="0"/>
              <w:spacing w:before="0" w:after="283"/>
              <w:jc w:val="center"/>
              <w:rPr/>
            </w:pPr>
            <w:r>
              <w:rPr/>
              <w:t> </w:t>
            </w:r>
            <w:bookmarkStart w:id="1114" w:name="xdx_49B_20250101__20250331__us-gaap--Sta"/>
            <w:bookmarkEnd w:id="1114"/>
          </w:p>
        </w:tc>
        <w:tc>
          <w:tcPr>
            <w:tcW w:w="17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center"/>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4"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09" w:type="dxa"/>
            <w:tcBorders/>
            <w:vAlign w:val="center"/>
          </w:tcPr>
          <w:p>
            <w:pPr>
              <w:pStyle w:val="TableContents"/>
              <w:bidi w:val="0"/>
              <w:spacing w:before="0" w:after="283"/>
              <w:jc w:val="center"/>
              <w:rPr/>
            </w:pPr>
            <w:r>
              <w:rPr/>
              <w:t> </w:t>
            </w:r>
          </w:p>
        </w:tc>
        <w:tc>
          <w:tcPr>
            <w:tcW w:w="132" w:type="dxa"/>
            <w:tcBorders/>
            <w:vAlign w:val="center"/>
          </w:tcPr>
          <w:p>
            <w:pPr>
              <w:pStyle w:val="TableContents"/>
              <w:bidi w:val="0"/>
              <w:spacing w:before="0" w:after="283"/>
              <w:jc w:val="center"/>
              <w:rPr/>
            </w:pPr>
            <w:r>
              <w:rPr/>
              <w:t> </w:t>
            </w:r>
          </w:p>
        </w:tc>
        <w:tc>
          <w:tcPr>
            <w:tcW w:w="17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center"/>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115" w:name="xdx_402_eus-gaap--RevenueFromContractWit"/>
            <w:bookmarkEnd w:id="1115"/>
          </w:p>
        </w:tc>
      </w:tr>
      <w:tr>
        <w:trPr/>
        <w:tc>
          <w:tcPr>
            <w:tcW w:w="599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674" w:type="dxa"/>
            <w:tcBorders/>
            <w:shd w:fill="CCEEFF" w:val="clear"/>
            <w:vAlign w:val="center"/>
          </w:tcPr>
          <w:p>
            <w:pPr>
              <w:pStyle w:val="TableContents"/>
              <w:bidi w:val="0"/>
              <w:spacing w:before="0" w:after="283"/>
              <w:jc w:val="right"/>
              <w:rPr/>
            </w:pPr>
            <w:r>
              <w:rPr/>
              <w:t>-</w:t>
            </w:r>
          </w:p>
        </w:tc>
        <w:tc>
          <w:tcPr>
            <w:tcW w:w="20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408"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Less Segment expenses:</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116" w:name="xdx_40F_eus-gaap--ResearchAndDevelopment"/>
            <w:bookmarkEnd w:id="1116"/>
          </w:p>
        </w:tc>
      </w:tr>
      <w:tr>
        <w:trPr/>
        <w:tc>
          <w:tcPr>
            <w:tcW w:w="59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r>
              <w:rPr/>
              <w:t>-</w:t>
            </w:r>
          </w:p>
        </w:tc>
        <w:tc>
          <w:tcPr>
            <w:tcW w:w="20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6</w:t>
            </w:r>
          </w:p>
        </w:tc>
        <w:tc>
          <w:tcPr>
            <w:tcW w:w="114" w:type="dxa"/>
            <w:tcBorders/>
            <w:shd w:fill="CCEEFF" w:val="clear"/>
            <w:vAlign w:val="center"/>
          </w:tcPr>
          <w:p>
            <w:pPr>
              <w:pStyle w:val="TableContents"/>
              <w:bidi w:val="0"/>
              <w:spacing w:before="0" w:after="283"/>
              <w:jc w:val="left"/>
              <w:rPr/>
            </w:pPr>
            <w:r>
              <w:rPr/>
              <w:t> </w:t>
            </w:r>
            <w:bookmarkStart w:id="1117" w:name="xdx_40E_eus-gaap--GeneralAndAdministrati"/>
            <w:bookmarkEnd w:id="1117"/>
          </w:p>
        </w:tc>
      </w:tr>
      <w:tr>
        <w:trPr/>
        <w:tc>
          <w:tcPr>
            <w:tcW w:w="599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right"/>
              <w:rPr/>
            </w:pPr>
            <w:r>
              <w:rPr/>
              <w:t>8,884</w:t>
            </w:r>
          </w:p>
        </w:tc>
        <w:tc>
          <w:tcPr>
            <w:tcW w:w="20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883</w:t>
            </w:r>
          </w:p>
        </w:tc>
        <w:tc>
          <w:tcPr>
            <w:tcW w:w="114" w:type="dxa"/>
            <w:tcBorders/>
            <w:shd w:fill="FFFFFF" w:val="clear"/>
            <w:vAlign w:val="center"/>
          </w:tcPr>
          <w:p>
            <w:pPr>
              <w:pStyle w:val="TableContents"/>
              <w:bidi w:val="0"/>
              <w:spacing w:before="0" w:after="283"/>
              <w:jc w:val="left"/>
              <w:rPr/>
            </w:pPr>
            <w:r>
              <w:rPr/>
              <w:t> </w:t>
            </w:r>
            <w:bookmarkStart w:id="1118" w:name="xdx_409_ecustom--GeneralAndAdministrativ"/>
            <w:bookmarkEnd w:id="1118"/>
          </w:p>
        </w:tc>
      </w:tr>
      <w:tr>
        <w:trPr/>
        <w:tc>
          <w:tcPr>
            <w:tcW w:w="5990" w:type="dxa"/>
            <w:tcBorders/>
            <w:shd w:fill="CCEEFF" w:val="clear"/>
            <w:vAlign w:val="center"/>
          </w:tcPr>
          <w:p>
            <w:pPr>
              <w:pStyle w:val="TableContents"/>
              <w:bidi w:val="0"/>
              <w:spacing w:before="0" w:after="283"/>
              <w:jc w:val="left"/>
              <w:rPr/>
            </w:pPr>
            <w:r>
              <w:rPr/>
              <w:t>General and administrative - stock-based compensation expenses</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r>
              <w:rPr/>
              <w:t>25,370</w:t>
            </w:r>
          </w:p>
        </w:tc>
        <w:tc>
          <w:tcPr>
            <w:tcW w:w="20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2,074</w:t>
            </w:r>
          </w:p>
        </w:tc>
        <w:tc>
          <w:tcPr>
            <w:tcW w:w="114" w:type="dxa"/>
            <w:tcBorders/>
            <w:shd w:fill="CCEEFF" w:val="clear"/>
            <w:vAlign w:val="center"/>
          </w:tcPr>
          <w:p>
            <w:pPr>
              <w:pStyle w:val="TableContents"/>
              <w:bidi w:val="0"/>
              <w:spacing w:before="0" w:after="283"/>
              <w:jc w:val="left"/>
              <w:rPr/>
            </w:pPr>
            <w:r>
              <w:rPr/>
              <w:t> </w:t>
            </w:r>
            <w:bookmarkStart w:id="1119" w:name="xdx_402_eus-gaap--DepreciationAndAmortiz"/>
            <w:bookmarkEnd w:id="1119"/>
          </w:p>
        </w:tc>
      </w:tr>
      <w:tr>
        <w:trPr/>
        <w:tc>
          <w:tcPr>
            <w:tcW w:w="59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4" w:type="dxa"/>
            <w:tcBorders>
              <w:bottom w:val="single" w:sz="8" w:space="0" w:color="000000"/>
            </w:tcBorders>
            <w:shd w:fill="FFFFFF" w:val="clear"/>
            <w:tcMar>
              <w:bottom w:w="28" w:type="dxa"/>
            </w:tcMar>
            <w:vAlign w:val="center"/>
          </w:tcPr>
          <w:p>
            <w:pPr>
              <w:pStyle w:val="TableContents"/>
              <w:bidi w:val="0"/>
              <w:spacing w:before="0" w:after="283"/>
              <w:jc w:val="right"/>
              <w:rPr/>
            </w:pPr>
            <w:r>
              <w:rPr/>
              <w:t>1,492</w:t>
            </w:r>
          </w:p>
        </w:tc>
        <w:tc>
          <w:tcPr>
            <w:tcW w:w="20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114" w:type="dxa"/>
            <w:tcBorders/>
            <w:shd w:fill="FFFFFF" w:val="clear"/>
            <w:vAlign w:val="center"/>
          </w:tcPr>
          <w:p>
            <w:pPr>
              <w:pStyle w:val="TableContents"/>
              <w:bidi w:val="0"/>
              <w:spacing w:before="0" w:after="283"/>
              <w:jc w:val="left"/>
              <w:rPr/>
            </w:pPr>
            <w:r>
              <w:rPr/>
              <w:t> </w:t>
            </w:r>
            <w:bookmarkStart w:id="1120" w:name="xdx_403_eus-gaap--OperatingExpenses_i01N"/>
            <w:bookmarkEnd w:id="1120"/>
          </w:p>
        </w:tc>
      </w:tr>
      <w:tr>
        <w:trPr/>
        <w:tc>
          <w:tcPr>
            <w:tcW w:w="5990" w:type="dxa"/>
            <w:tcBorders/>
            <w:shd w:fill="CCEEFF" w:val="clear"/>
            <w:vAlign w:val="center"/>
          </w:tcPr>
          <w:p>
            <w:pPr>
              <w:pStyle w:val="TableContents"/>
              <w:bidi w:val="0"/>
              <w:spacing w:before="0" w:after="283"/>
              <w:jc w:val="left"/>
              <w:rPr/>
            </w:pPr>
            <w:r>
              <w:rPr/>
              <w:t>Total operating and segment expense</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r>
              <w:rPr/>
              <w:t>(35,746</w:t>
            </w:r>
          </w:p>
        </w:tc>
        <w:tc>
          <w:tcPr>
            <w:tcW w:w="209" w:type="dxa"/>
            <w:tcBorders/>
            <w:shd w:fill="CCEEFF" w:val="clear"/>
            <w:vAlign w:val="center"/>
          </w:tcPr>
          <w:p>
            <w:pPr>
              <w:pStyle w:val="TableContents"/>
              <w:bidi w:val="0"/>
              <w:spacing w:before="0" w:after="283"/>
              <w:jc w:val="left"/>
              <w:rPr/>
            </w:pPr>
            <w:r>
              <w:rPr/>
              <w:t>)</w:t>
            </w:r>
          </w:p>
        </w:tc>
        <w:tc>
          <w:tcPr>
            <w:tcW w:w="13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(2,984</w:t>
            </w:r>
          </w:p>
        </w:tc>
        <w:tc>
          <w:tcPr>
            <w:tcW w:w="114" w:type="dxa"/>
            <w:tcBorders/>
            <w:shd w:fill="CCEEFF" w:val="clear"/>
            <w:vAlign w:val="center"/>
          </w:tcPr>
          <w:p>
            <w:pPr>
              <w:pStyle w:val="TableContents"/>
              <w:bidi w:val="0"/>
              <w:spacing w:before="0" w:after="283"/>
              <w:jc w:val="left"/>
              <w:rPr/>
            </w:pPr>
            <w:r>
              <w:rPr/>
              <w:t>)</w:t>
            </w:r>
          </w:p>
        </w:tc>
      </w:tr>
      <w:tr>
        <w:trPr/>
        <w:tc>
          <w:tcPr>
            <w:tcW w:w="5990" w:type="dxa"/>
            <w:tcBorders/>
            <w:shd w:fill="FFFFFF" w:val="clear"/>
            <w:vAlign w:val="center"/>
          </w:tcPr>
          <w:p>
            <w:pPr>
              <w:pStyle w:val="TableContents"/>
              <w:bidi w:val="0"/>
              <w:spacing w:before="0" w:after="283"/>
              <w:jc w:val="left"/>
              <w:rPr/>
            </w:pPr>
            <w:r>
              <w:rPr/>
              <w:t>Plus:</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121" w:name="xdx_406_eus-gaap--InterestIncomeExpenseN"/>
            <w:bookmarkEnd w:id="1121"/>
          </w:p>
        </w:tc>
      </w:tr>
      <w:tr>
        <w:trPr/>
        <w:tc>
          <w:tcPr>
            <w:tcW w:w="599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r>
              <w:rPr/>
              <w:t>(12,195</w:t>
            </w:r>
          </w:p>
        </w:tc>
        <w:tc>
          <w:tcPr>
            <w:tcW w:w="209" w:type="dxa"/>
            <w:tcBorders/>
            <w:shd w:fill="CCEEFF" w:val="clear"/>
            <w:vAlign w:val="center"/>
          </w:tcPr>
          <w:p>
            <w:pPr>
              <w:pStyle w:val="TableContents"/>
              <w:bidi w:val="0"/>
              <w:spacing w:before="0" w:after="283"/>
              <w:jc w:val="left"/>
              <w:rPr/>
            </w:pPr>
            <w:r>
              <w:rPr/>
              <w:t>)</w:t>
            </w:r>
          </w:p>
        </w:tc>
        <w:tc>
          <w:tcPr>
            <w:tcW w:w="13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122" w:name="xdx_405_eus-gaap--DebtSecuritiesAvailabl"/>
            <w:bookmarkEnd w:id="1122"/>
          </w:p>
        </w:tc>
      </w:tr>
      <w:tr>
        <w:trPr/>
        <w:tc>
          <w:tcPr>
            <w:tcW w:w="5990" w:type="dxa"/>
            <w:tcBorders/>
            <w:shd w:fill="FFFFFF" w:val="clear"/>
            <w:vAlign w:val="center"/>
          </w:tcPr>
          <w:p>
            <w:pPr>
              <w:pStyle w:val="TableContents"/>
              <w:bidi w:val="0"/>
              <w:spacing w:before="0" w:after="283"/>
              <w:jc w:val="left"/>
              <w:rPr/>
            </w:pPr>
            <w:r>
              <w:rPr/>
              <w:t>Realized gain on sale of gold</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right"/>
              <w:rPr/>
            </w:pPr>
            <w:r>
              <w:rPr/>
              <w:t>2,938</w:t>
            </w:r>
          </w:p>
        </w:tc>
        <w:tc>
          <w:tcPr>
            <w:tcW w:w="20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123" w:name="xdx_40E_ecustom--RealizedGainOnMarketabl"/>
            <w:bookmarkEnd w:id="1123"/>
          </w:p>
        </w:tc>
      </w:tr>
      <w:tr>
        <w:trPr/>
        <w:tc>
          <w:tcPr>
            <w:tcW w:w="5990" w:type="dxa"/>
            <w:tcBorders/>
            <w:shd w:fill="CCEEFF" w:val="clear"/>
            <w:vAlign w:val="center"/>
          </w:tcPr>
          <w:p>
            <w:pPr>
              <w:pStyle w:val="TableContents"/>
              <w:bidi w:val="0"/>
              <w:spacing w:before="0" w:after="283"/>
              <w:jc w:val="left"/>
              <w:rPr/>
            </w:pPr>
            <w:r>
              <w:rPr/>
              <w:t>Realized gain on marketable securities</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r>
              <w:rPr/>
              <w:t>484</w:t>
            </w:r>
          </w:p>
        </w:tc>
        <w:tc>
          <w:tcPr>
            <w:tcW w:w="20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124" w:name="xdx_403_eus-gaap--EquitySecuritiesFvNiGa"/>
            <w:bookmarkEnd w:id="1124"/>
          </w:p>
        </w:tc>
      </w:tr>
      <w:tr>
        <w:trPr/>
        <w:tc>
          <w:tcPr>
            <w:tcW w:w="5990" w:type="dxa"/>
            <w:tcBorders/>
            <w:shd w:fill="FFFFFF" w:val="clear"/>
            <w:vAlign w:val="center"/>
          </w:tcPr>
          <w:p>
            <w:pPr>
              <w:pStyle w:val="TableContents"/>
              <w:bidi w:val="0"/>
              <w:spacing w:before="0" w:after="283"/>
              <w:jc w:val="left"/>
              <w:rPr/>
            </w:pPr>
            <w:r>
              <w:rPr/>
              <w:t>Change in fair value of marketable securities</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right"/>
              <w:rPr/>
            </w:pPr>
            <w:r>
              <w:rPr/>
              <w:t>(134</w:t>
            </w:r>
          </w:p>
        </w:tc>
        <w:tc>
          <w:tcPr>
            <w:tcW w:w="209" w:type="dxa"/>
            <w:tcBorders/>
            <w:shd w:fill="FFFFFF" w:val="clear"/>
            <w:vAlign w:val="center"/>
          </w:tcPr>
          <w:p>
            <w:pPr>
              <w:pStyle w:val="TableContents"/>
              <w:bidi w:val="0"/>
              <w:spacing w:before="0" w:after="283"/>
              <w:jc w:val="left"/>
              <w:rPr/>
            </w:pPr>
            <w:r>
              <w:rPr/>
              <w:t>)</w:t>
            </w:r>
          </w:p>
        </w:tc>
        <w:tc>
          <w:tcPr>
            <w:tcW w:w="13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125" w:name="xdx_408_eus-gaap--EmbeddedDerivativeGain"/>
            <w:bookmarkEnd w:id="1125"/>
          </w:p>
        </w:tc>
      </w:tr>
      <w:tr>
        <w:trPr/>
        <w:tc>
          <w:tcPr>
            <w:tcW w:w="5990" w:type="dxa"/>
            <w:tcBorders/>
            <w:shd w:fill="CCEEFF" w:val="clear"/>
            <w:vAlign w:val="center"/>
          </w:tcPr>
          <w:p>
            <w:pPr>
              <w:pStyle w:val="TableContents"/>
              <w:bidi w:val="0"/>
              <w:spacing w:before="0" w:after="283"/>
              <w:jc w:val="left"/>
              <w:rPr/>
            </w:pPr>
            <w:r>
              <w:rPr/>
              <w:t>Change in fair value of embedded derivative</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r>
              <w:rPr/>
              <w:t>497</w:t>
            </w:r>
          </w:p>
        </w:tc>
        <w:tc>
          <w:tcPr>
            <w:tcW w:w="20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126" w:name="xdx_403_eus-gaap--InterestExpenseJuniorS"/>
            <w:bookmarkEnd w:id="1126"/>
          </w:p>
        </w:tc>
      </w:tr>
      <w:tr>
        <w:trPr/>
        <w:tc>
          <w:tcPr>
            <w:tcW w:w="5990" w:type="dxa"/>
            <w:tcBorders/>
            <w:shd w:fill="FFFFFF" w:val="clear"/>
            <w:vAlign w:val="center"/>
          </w:tcPr>
          <w:p>
            <w:pPr>
              <w:pStyle w:val="TableContents"/>
              <w:bidi w:val="0"/>
              <w:spacing w:before="0" w:after="283"/>
              <w:jc w:val="left"/>
              <w:rPr/>
            </w:pPr>
            <w:r>
              <w:rPr/>
              <w:t>Realized loss on extinguishment of convertible debenture</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right"/>
              <w:rPr/>
            </w:pPr>
            <w:r>
              <w:rPr/>
              <w:t>(3,057</w:t>
            </w:r>
          </w:p>
        </w:tc>
        <w:tc>
          <w:tcPr>
            <w:tcW w:w="209" w:type="dxa"/>
            <w:tcBorders/>
            <w:shd w:fill="FFFFFF" w:val="clear"/>
            <w:vAlign w:val="center"/>
          </w:tcPr>
          <w:p>
            <w:pPr>
              <w:pStyle w:val="TableContents"/>
              <w:bidi w:val="0"/>
              <w:spacing w:before="0" w:after="283"/>
              <w:jc w:val="left"/>
              <w:rPr/>
            </w:pPr>
            <w:r>
              <w:rPr/>
              <w:t>)</w:t>
            </w:r>
          </w:p>
        </w:tc>
        <w:tc>
          <w:tcPr>
            <w:tcW w:w="13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127" w:name="xdx_40C_eus-gaap--RealizedInvestmentGain"/>
            <w:bookmarkEnd w:id="1127"/>
          </w:p>
        </w:tc>
      </w:tr>
      <w:tr>
        <w:trPr/>
        <w:tc>
          <w:tcPr>
            <w:tcW w:w="5990" w:type="dxa"/>
            <w:tcBorders/>
            <w:shd w:fill="CCEEFF" w:val="clear"/>
            <w:vAlign w:val="center"/>
          </w:tcPr>
          <w:p>
            <w:pPr>
              <w:pStyle w:val="TableContents"/>
              <w:bidi w:val="0"/>
              <w:spacing w:before="0" w:after="283"/>
              <w:jc w:val="left"/>
              <w:rPr/>
            </w:pPr>
            <w:r>
              <w:rPr/>
              <w:t>Realized loss on investment</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74" w:type="dxa"/>
            <w:tcBorders/>
            <w:shd w:fill="CCEEFF" w:val="clear"/>
            <w:vAlign w:val="center"/>
          </w:tcPr>
          <w:p>
            <w:pPr>
              <w:pStyle w:val="TableContents"/>
              <w:bidi w:val="0"/>
              <w:spacing w:before="0" w:after="283"/>
              <w:jc w:val="right"/>
              <w:rPr/>
            </w:pPr>
            <w:r>
              <w:rPr/>
              <w:t>(119</w:t>
            </w:r>
          </w:p>
        </w:tc>
        <w:tc>
          <w:tcPr>
            <w:tcW w:w="209" w:type="dxa"/>
            <w:tcBorders/>
            <w:shd w:fill="CCEEFF" w:val="clear"/>
            <w:vAlign w:val="center"/>
          </w:tcPr>
          <w:p>
            <w:pPr>
              <w:pStyle w:val="TableContents"/>
              <w:bidi w:val="0"/>
              <w:spacing w:before="0" w:after="283"/>
              <w:jc w:val="left"/>
              <w:rPr/>
            </w:pPr>
            <w:r>
              <w:rPr/>
              <w:t>)</w:t>
            </w:r>
          </w:p>
        </w:tc>
        <w:tc>
          <w:tcPr>
            <w:tcW w:w="132"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128" w:name="xdx_407_eus-gaap--GainsLossesOnExtinguis"/>
            <w:bookmarkEnd w:id="1128"/>
          </w:p>
        </w:tc>
      </w:tr>
      <w:tr>
        <w:trPr/>
        <w:tc>
          <w:tcPr>
            <w:tcW w:w="5990" w:type="dxa"/>
            <w:tcBorders/>
            <w:shd w:fill="FFFFFF" w:val="clear"/>
            <w:vAlign w:val="center"/>
          </w:tcPr>
          <w:p>
            <w:pPr>
              <w:pStyle w:val="TableContents"/>
              <w:bidi w:val="0"/>
              <w:spacing w:before="0" w:after="283"/>
              <w:jc w:val="left"/>
              <w:rPr/>
            </w:pPr>
            <w:r>
              <w:rPr/>
              <w:t>Gain on settlement and forgiveness of debt</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74" w:type="dxa"/>
            <w:tcBorders/>
            <w:shd w:fill="FFFFFF" w:val="clear"/>
            <w:vAlign w:val="center"/>
          </w:tcPr>
          <w:p>
            <w:pPr>
              <w:pStyle w:val="TableContents"/>
              <w:bidi w:val="0"/>
              <w:spacing w:before="0" w:after="283"/>
              <w:jc w:val="right"/>
              <w:rPr/>
            </w:pPr>
            <w:r>
              <w:rPr/>
              <w:t>-</w:t>
            </w:r>
          </w:p>
        </w:tc>
        <w:tc>
          <w:tcPr>
            <w:tcW w:w="209"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199</w:t>
            </w:r>
          </w:p>
        </w:tc>
        <w:tc>
          <w:tcPr>
            <w:tcW w:w="114" w:type="dxa"/>
            <w:tcBorders/>
            <w:shd w:fill="FFFFFF" w:val="clear"/>
            <w:vAlign w:val="center"/>
          </w:tcPr>
          <w:p>
            <w:pPr>
              <w:pStyle w:val="TableContents"/>
              <w:bidi w:val="0"/>
              <w:spacing w:before="0" w:after="283"/>
              <w:jc w:val="left"/>
              <w:rPr/>
            </w:pPr>
            <w:r>
              <w:rPr/>
              <w:t> </w:t>
            </w:r>
            <w:bookmarkStart w:id="1129" w:name="xdx_401_eus-gaap--OtherNonoperatingIncom"/>
            <w:bookmarkEnd w:id="1129"/>
          </w:p>
        </w:tc>
      </w:tr>
      <w:tr>
        <w:trPr/>
        <w:tc>
          <w:tcPr>
            <w:tcW w:w="599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4"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20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114" w:type="dxa"/>
            <w:tcBorders/>
            <w:shd w:fill="CCEEFF" w:val="clear"/>
            <w:vAlign w:val="center"/>
          </w:tcPr>
          <w:p>
            <w:pPr>
              <w:pStyle w:val="TableContents"/>
              <w:bidi w:val="0"/>
              <w:spacing w:before="0" w:after="283"/>
              <w:jc w:val="left"/>
              <w:rPr/>
            </w:pPr>
            <w:r>
              <w:rPr/>
              <w:t>)</w:t>
            </w:r>
            <w:bookmarkStart w:id="1130" w:name="xdx_40A_eus-gaap--NonoperatingIncomeExpe"/>
            <w:bookmarkEnd w:id="1130"/>
          </w:p>
        </w:tc>
      </w:tr>
      <w:tr>
        <w:trPr/>
        <w:tc>
          <w:tcPr>
            <w:tcW w:w="5990" w:type="dxa"/>
            <w:tcBorders/>
            <w:shd w:fill="FFFFFF" w:val="clear"/>
            <w:vAlign w:val="center"/>
          </w:tcPr>
          <w:p>
            <w:pPr>
              <w:pStyle w:val="TableContents"/>
              <w:bidi w:val="0"/>
              <w:spacing w:before="0" w:after="283"/>
              <w:jc w:val="left"/>
              <w:rPr/>
            </w:pPr>
            <w:r>
              <w:rPr/>
              <w:t>Total other income (expense)</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4" w:type="dxa"/>
            <w:tcBorders>
              <w:bottom w:val="single" w:sz="8" w:space="0" w:color="000000"/>
            </w:tcBorders>
            <w:shd w:fill="FFFFFF" w:val="clear"/>
            <w:tcMar>
              <w:bottom w:w="28" w:type="dxa"/>
            </w:tcMar>
            <w:vAlign w:val="center"/>
          </w:tcPr>
          <w:p>
            <w:pPr>
              <w:pStyle w:val="TableContents"/>
              <w:bidi w:val="0"/>
              <w:spacing w:before="0" w:after="283"/>
              <w:jc w:val="right"/>
              <w:rPr/>
            </w:pPr>
            <w:r>
              <w:rPr/>
              <w:t>(11,513</w:t>
            </w:r>
          </w:p>
        </w:tc>
        <w:tc>
          <w:tcPr>
            <w:tcW w:w="209" w:type="dxa"/>
            <w:tcBorders/>
            <w:shd w:fill="FFFFFF" w:val="clear"/>
            <w:vAlign w:val="center"/>
          </w:tcPr>
          <w:p>
            <w:pPr>
              <w:pStyle w:val="TableContents"/>
              <w:bidi w:val="0"/>
              <w:spacing w:before="0" w:after="283"/>
              <w:jc w:val="left"/>
              <w:rPr/>
            </w:pPr>
            <w:r>
              <w:rPr/>
              <w:t>)</w:t>
            </w:r>
          </w:p>
        </w:tc>
        <w:tc>
          <w:tcPr>
            <w:tcW w:w="132"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184</w:t>
            </w:r>
          </w:p>
        </w:tc>
        <w:tc>
          <w:tcPr>
            <w:tcW w:w="114" w:type="dxa"/>
            <w:tcBorders/>
            <w:shd w:fill="FFFFFF" w:val="clear"/>
            <w:vAlign w:val="center"/>
          </w:tcPr>
          <w:p>
            <w:pPr>
              <w:pStyle w:val="TableContents"/>
              <w:bidi w:val="0"/>
              <w:spacing w:before="0" w:after="283"/>
              <w:jc w:val="left"/>
              <w:rPr/>
            </w:pPr>
            <w:r>
              <w:rPr/>
              <w:t> </w:t>
            </w:r>
            <w:bookmarkStart w:id="1131" w:name="xdx_401_eus-gaap--IncomeTaxExpenseBenefi"/>
            <w:bookmarkEnd w:id="1131"/>
          </w:p>
        </w:tc>
      </w:tr>
      <w:tr>
        <w:trPr/>
        <w:tc>
          <w:tcPr>
            <w:tcW w:w="5990" w:type="dxa"/>
            <w:tcBorders/>
            <w:shd w:fill="CCEEFF" w:val="clear"/>
            <w:vAlign w:val="center"/>
          </w:tcPr>
          <w:p>
            <w:pPr>
              <w:pStyle w:val="TableContents"/>
              <w:bidi w:val="0"/>
              <w:spacing w:before="0" w:after="283"/>
              <w:jc w:val="left"/>
              <w:rPr/>
            </w:pPr>
            <w:r>
              <w:rPr/>
              <w:t>Income taxes (benefit)</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4" w:type="dxa"/>
            <w:tcBorders>
              <w:bottom w:val="single" w:sz="8" w:space="0" w:color="000000"/>
            </w:tcBorders>
            <w:shd w:fill="CCEEFF" w:val="clear"/>
            <w:tcMar>
              <w:bottom w:w="28" w:type="dxa"/>
            </w:tcMar>
            <w:vAlign w:val="center"/>
          </w:tcPr>
          <w:p>
            <w:pPr>
              <w:pStyle w:val="TableContents"/>
              <w:bidi w:val="0"/>
              <w:spacing w:before="0" w:after="283"/>
              <w:jc w:val="right"/>
              <w:rPr/>
            </w:pPr>
            <w:r>
              <w:rPr/>
              <w:t>(565</w:t>
            </w:r>
          </w:p>
        </w:tc>
        <w:tc>
          <w:tcPr>
            <w:tcW w:w="209" w:type="dxa"/>
            <w:tcBorders/>
            <w:shd w:fill="CCEEFF" w:val="clear"/>
            <w:vAlign w:val="center"/>
          </w:tcPr>
          <w:p>
            <w:pPr>
              <w:pStyle w:val="TableContents"/>
              <w:bidi w:val="0"/>
              <w:spacing w:before="0" w:after="283"/>
              <w:jc w:val="left"/>
              <w:rPr/>
            </w:pPr>
            <w:r>
              <w:rPr/>
              <w:t>)</w:t>
            </w:r>
          </w:p>
        </w:tc>
        <w:tc>
          <w:tcPr>
            <w:tcW w:w="132" w:type="dxa"/>
            <w:tcBorders/>
            <w:shd w:fill="CCEEFF" w:val="clear"/>
            <w:vAlign w:val="center"/>
          </w:tcPr>
          <w:p>
            <w:pPr>
              <w:pStyle w:val="TableContents"/>
              <w:bidi w:val="0"/>
              <w:spacing w:before="0" w:after="283"/>
              <w:jc w:val="left"/>
              <w:rPr/>
            </w:pPr>
            <w:r>
              <w:rPr/>
              <w:t> </w:t>
            </w:r>
          </w:p>
        </w:tc>
        <w:tc>
          <w:tcPr>
            <w:tcW w:w="3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132" w:name="xdx_400_eus-gaap--ProfitLoss_iT_pn3n3_mt"/>
            <w:bookmarkEnd w:id="1132"/>
          </w:p>
        </w:tc>
      </w:tr>
      <w:tr>
        <w:trPr/>
        <w:tc>
          <w:tcPr>
            <w:tcW w:w="5990" w:type="dxa"/>
            <w:tcBorders/>
            <w:shd w:fill="FFFFFF" w:val="clear"/>
            <w:vAlign w:val="center"/>
          </w:tcPr>
          <w:p>
            <w:pPr>
              <w:pStyle w:val="TableContents"/>
              <w:bidi w:val="0"/>
              <w:spacing w:before="0" w:after="283"/>
              <w:jc w:val="left"/>
              <w:rPr/>
            </w:pPr>
            <w:r>
              <w:rPr/>
              <w:t>Segment Net Loss</w:t>
            </w:r>
          </w:p>
        </w:tc>
        <w:tc>
          <w:tcPr>
            <w:tcW w:w="60"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674" w:type="dxa"/>
            <w:tcBorders>
              <w:bottom w:val="single" w:sz="8" w:space="0" w:color="000000"/>
            </w:tcBorders>
            <w:shd w:fill="FFFFFF" w:val="clear"/>
            <w:tcMar>
              <w:bottom w:w="28" w:type="dxa"/>
            </w:tcMar>
            <w:vAlign w:val="center"/>
          </w:tcPr>
          <w:p>
            <w:pPr>
              <w:pStyle w:val="TableContents"/>
              <w:bidi w:val="0"/>
              <w:spacing w:before="0" w:after="283"/>
              <w:jc w:val="right"/>
              <w:rPr/>
            </w:pPr>
            <w:r>
              <w:rPr/>
              <w:t>(46,694</w:t>
            </w:r>
          </w:p>
        </w:tc>
        <w:tc>
          <w:tcPr>
            <w:tcW w:w="209" w:type="dxa"/>
            <w:tcBorders/>
            <w:shd w:fill="FFFFFF" w:val="clear"/>
            <w:vAlign w:val="center"/>
          </w:tcPr>
          <w:p>
            <w:pPr>
              <w:pStyle w:val="TableContents"/>
              <w:bidi w:val="0"/>
              <w:spacing w:before="0" w:after="283"/>
              <w:jc w:val="left"/>
              <w:rPr/>
            </w:pPr>
            <w:r>
              <w:rPr/>
              <w:t>)</w:t>
            </w:r>
          </w:p>
        </w:tc>
        <w:tc>
          <w:tcPr>
            <w:tcW w:w="132" w:type="dxa"/>
            <w:tcBorders/>
            <w:shd w:fill="FFFFFF" w:val="cle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(2,800</w:t>
            </w:r>
          </w:p>
        </w:tc>
        <w:tc>
          <w:tcPr>
            <w:tcW w:w="114" w:type="dxa"/>
            <w:tcBorders/>
            <w:shd w:fill="FFFFFF" w:val="clear"/>
            <w:vAlign w:val="center"/>
          </w:tcPr>
          <w:p>
            <w:pPr>
              <w:pStyle w:val="TableContents"/>
              <w:bidi w:val="0"/>
              <w:spacing w:before="0" w:after="283"/>
              <w:jc w:val="left"/>
              <w:rPr/>
            </w:pPr>
            <w:r>
              <w:rPr/>
              <w:t>)</w:t>
            </w:r>
            <w:bookmarkStart w:id="1133" w:name="xdx_400_eus-gaap--NetIncomeLossAttributa"/>
            <w:bookmarkEnd w:id="1133"/>
          </w:p>
        </w:tc>
      </w:tr>
      <w:tr>
        <w:trPr/>
        <w:tc>
          <w:tcPr>
            <w:tcW w:w="5990"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4"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209"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pPr>
            <w:r>
              <w:rPr/>
              <w:t>(12</w:t>
            </w:r>
          </w:p>
        </w:tc>
        <w:tc>
          <w:tcPr>
            <w:tcW w:w="114" w:type="dxa"/>
            <w:tcBorders/>
            <w:shd w:fill="CCEEFF" w:val="clear"/>
            <w:vAlign w:val="center"/>
          </w:tcPr>
          <w:p>
            <w:pPr>
              <w:pStyle w:val="TableContents"/>
              <w:bidi w:val="0"/>
              <w:spacing w:before="0" w:after="283"/>
              <w:jc w:val="left"/>
              <w:rPr/>
            </w:pPr>
            <w:r>
              <w:rPr/>
              <w:t>)</w:t>
            </w:r>
            <w:bookmarkStart w:id="1134" w:name="xdx_40B_eus-gaap--NetIncomeLoss_iT_pn3n3"/>
            <w:bookmarkEnd w:id="1134"/>
          </w:p>
        </w:tc>
      </w:tr>
      <w:tr>
        <w:trPr/>
        <w:tc>
          <w:tcPr>
            <w:tcW w:w="5990" w:type="dxa"/>
            <w:tcBorders/>
            <w:shd w:fill="FFFFFF" w:val="clear"/>
            <w:vAlign w:val="center"/>
          </w:tcPr>
          <w:p>
            <w:pPr>
              <w:pStyle w:val="TableContents"/>
              <w:bidi w:val="0"/>
              <w:spacing w:before="0" w:after="283"/>
              <w:jc w:val="left"/>
              <w:rPr/>
            </w:pPr>
            <w:r>
              <w:rPr/>
              <w:t>Net loss attributable to Streamex Corp.</w:t>
            </w:r>
          </w:p>
        </w:tc>
        <w:tc>
          <w:tcPr>
            <w:tcW w:w="60"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74" w:type="dxa"/>
            <w:tcBorders>
              <w:bottom w:val="double" w:sz="6" w:space="0" w:color="000000"/>
            </w:tcBorders>
            <w:shd w:fill="FFFFFF" w:val="clear"/>
            <w:tcMar>
              <w:bottom w:w="28" w:type="dxa"/>
            </w:tcMar>
            <w:vAlign w:val="center"/>
          </w:tcPr>
          <w:p>
            <w:pPr>
              <w:pStyle w:val="TableContents"/>
              <w:bidi w:val="0"/>
              <w:spacing w:before="0" w:after="283"/>
              <w:jc w:val="right"/>
              <w:rPr/>
            </w:pPr>
            <w:r>
              <w:rPr/>
              <w:t>(46,693</w:t>
            </w:r>
          </w:p>
        </w:tc>
        <w:tc>
          <w:tcPr>
            <w:tcW w:w="209" w:type="dxa"/>
            <w:tcBorders/>
            <w:shd w:fill="FFFFFF" w:val="clear"/>
            <w:vAlign w:val="center"/>
          </w:tcPr>
          <w:p>
            <w:pPr>
              <w:pStyle w:val="TableContents"/>
              <w:bidi w:val="0"/>
              <w:spacing w:before="0" w:after="283"/>
              <w:jc w:val="left"/>
              <w:rPr/>
            </w:pPr>
            <w:r>
              <w:rPr/>
              <w:t>)</w:t>
            </w:r>
          </w:p>
        </w:tc>
        <w:tc>
          <w:tcPr>
            <w:tcW w:w="132" w:type="dxa"/>
            <w:tcBorders/>
            <w:shd w:fill="FFFFFF" w:val="cle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pPr>
            <w:r>
              <w:rPr/>
              <w:t>(2,812</w:t>
            </w:r>
          </w:p>
        </w:tc>
        <w:tc>
          <w:tcPr>
            <w:tcW w:w="11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35" w:name="xdx_806_eus-gaap--RelatedPartyTransactio"/>
      <w:bookmarkEnd w:id="1135"/>
      <w:r>
        <w:rPr>
          <w:rFonts w:ascii="Times New Roman;Times;Serif" w:hAnsi="Times New Roman;Times;Serif"/>
          <w:b/>
          <w:i w:val="false"/>
          <w:caps w:val="false"/>
          <w:smallCaps w:val="false"/>
          <w:sz w:val="20"/>
        </w:rPr>
        <w:t>NOTE 18</w:t>
      </w:r>
      <w:r>
        <w:rPr>
          <w:rFonts w:ascii="Times New Roman;Times;Serif" w:hAnsi="Times New Roman;Times;Serif"/>
          <w:b w:val="false"/>
          <w:i w:val="false"/>
          <w:caps w:val="false"/>
          <w:smallCaps w:val="false"/>
          <w:sz w:val="20"/>
        </w:rPr>
        <w:t xml:space="preserve">– </w:t>
      </w:r>
      <w:bookmarkStart w:id="1136" w:name="xdx_82A_zuu3qTNfbzS2"/>
      <w:bookmarkEnd w:id="1136"/>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as of March 31, 2026 include $</w:t>
      </w:r>
      <w:bookmarkStart w:id="1137" w:name="xdx_900_eus-gaap--OtherLiabilitiesCurren"/>
      <w:bookmarkEnd w:id="1137"/>
      <w:r>
        <w:rPr>
          <w:rFonts w:ascii="Times New Roman;Times;Serif" w:hAnsi="Times New Roman;Times;Serif"/>
          <w:b w:val="false"/>
          <w:i w:val="false"/>
          <w:caps w:val="false"/>
          <w:smallCaps w:val="false"/>
          <w:sz w:val="20"/>
        </w:rPr>
        <w:t>907 due to related parties, compared to $</w:t>
      </w:r>
      <w:bookmarkStart w:id="1138" w:name="xdx_90F_eus-gaap--OtherLiabilitiesCurren"/>
      <w:bookmarkEnd w:id="1138"/>
      <w:r>
        <w:rPr>
          <w:rFonts w:ascii="Times New Roman;Times;Serif" w:hAnsi="Times New Roman;Times;Serif"/>
          <w:b w:val="false"/>
          <w:i w:val="false"/>
          <w:caps w:val="false"/>
          <w:smallCaps w:val="false"/>
          <w:sz w:val="20"/>
        </w:rPr>
        <w:t>66 as of December 31, 2025. These amounts primarily relate to executives and board compensation, severance, and reimbursements.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two officers of the Company subscribed for GLDY Tokens issued by Streamex Ltd. (the Company’s consolidated VIE): (i) the Company’s Chief Investment Officer, subscribed for approximately $200 of GLDY Tokens, and (ii) the Company’s General Counsel, subscribed for approximately $</w:t>
      </w:r>
      <w:bookmarkStart w:id="1139" w:name="xdx_90C_eus-gaap--NoncontrollingInterest"/>
      <w:bookmarkEnd w:id="1139"/>
      <w:r>
        <w:rPr>
          <w:rFonts w:ascii="Times New Roman;Times;Serif" w:hAnsi="Times New Roman;Times;Serif"/>
          <w:b w:val="false"/>
          <w:i w:val="false"/>
          <w:caps w:val="false"/>
          <w:smallCaps w:val="false"/>
          <w:sz w:val="20"/>
        </w:rPr>
        <w:t xml:space="preserve">25 of GLDY Tokens. Both subscriptions were made on the same terms and at the same per-token price as the Company’s own subscriptions pursuant to the GLDY Subscription Agreement. As of March 31, 2026, the officers’ combined GLDY Token holdings represented approximately </w:t>
      </w:r>
      <w:bookmarkStart w:id="1140" w:name="xdx_905_ecustom--VariableInterestPercent"/>
      <w:bookmarkEnd w:id="1140"/>
      <w:r>
        <w:rPr>
          <w:rFonts w:ascii="Times New Roman;Times;Serif" w:hAnsi="Times New Roman;Times;Serif"/>
          <w:b w:val="false"/>
          <w:i w:val="false"/>
          <w:caps w:val="false"/>
          <w:smallCaps w:val="false"/>
          <w:sz w:val="20"/>
        </w:rPr>
        <w:t>1.5% of total outstanding tokens. See Note 9, Streamex Ltd. (VIE), for additional information.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41" w:name="xdx_80C_eus-gaap--SubsequentEventsTextBl"/>
      <w:bookmarkEnd w:id="1141"/>
      <w:r>
        <w:rPr>
          <w:rFonts w:ascii="Times New Roman;Times;Serif" w:hAnsi="Times New Roman;Times;Serif"/>
          <w:b/>
          <w:i w:val="false"/>
          <w:caps w:val="false"/>
          <w:smallCaps w:val="false"/>
          <w:sz w:val="20"/>
        </w:rPr>
        <w:t>NOTE 19</w:t>
      </w:r>
      <w:r>
        <w:rPr>
          <w:rFonts w:ascii="Times New Roman;Times;Serif" w:hAnsi="Times New Roman;Times;Serif"/>
          <w:b w:val="false"/>
          <w:i w:val="false"/>
          <w:caps w:val="false"/>
          <w:smallCaps w:val="false"/>
          <w:sz w:val="20"/>
        </w:rPr>
        <w:t xml:space="preserve"> – </w:t>
      </w:r>
      <w:bookmarkStart w:id="1142" w:name="xdx_82B_zLDpx0fOvsx8"/>
      <w:bookmarkEnd w:id="1142"/>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from the balance sheet date through the date on which these unaudited condensed financial statements were issued. Other than as described in the notes below, the Company did not have any material subsequent events that impacted its unaudited condensed financial statements or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GLDY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43" w:name="xdx_900_eus-gaap--DividendPaymentRestric"/>
      <w:bookmarkEnd w:id="1143"/>
      <w:r>
        <w:rPr>
          <w:rFonts w:ascii="Times New Roman;Times;Serif" w:hAnsi="Times New Roman;Times;Serif"/>
          <w:b w:val="false"/>
          <w:i w:val="false"/>
          <w:caps w:val="false"/>
          <w:smallCaps w:val="false"/>
          <w:sz w:val="20"/>
        </w:rPr>
        <w:t>On April 17, 2026, the Board of Directors of Streamex Ltd., acting through GLDY ServiceCo, LLC as servicer, declared a scrip dividend of 0.000085 ounces of gold per GLDY Token for the month of March 2026, payable on April 17, 2026 to tokenholders of record as of that date. The dividend was funded by gold lease income earned on Streamex Ltd.’s gold holdings during March 2026 and was paid in the form of additional fractional GLDY Tokens. Each GLDY Token continues to represent one troy ounce of gold on a 1:1 basis, as confirmed by the third-party fund administrator. The noncontrolling interest holders’ share of the dividend was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Director and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Board appointed the Company’s Chief Investment Officer (“CIO”), to serve as a non-independent director of the Board for a term expiring at the Company’s 2026 annual meeting of stockholders or until his successor is duly elected and qualified, or until the earlier of his death, resignation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CIO’s amended employment agreement effective April 6, 2026, the Board granted the CIO </w:t>
      </w:r>
      <w:bookmarkStart w:id="1144" w:name="xdx_90C_eus-gaap--ShareBasedCompensation"/>
      <w:bookmarkEnd w:id="1144"/>
      <w:r>
        <w:rPr>
          <w:rFonts w:ascii="Times New Roman;Times;Serif" w:hAnsi="Times New Roman;Times;Serif"/>
          <w:b w:val="false"/>
          <w:i w:val="false"/>
          <w:caps w:val="false"/>
          <w:smallCaps w:val="false"/>
          <w:sz w:val="20"/>
        </w:rPr>
        <w:t xml:space="preserve">1,250,000 RSUs and a special incentive award of </w:t>
      </w:r>
      <w:bookmarkStart w:id="1145" w:name="xdx_909_eus-gaap--ShareBasedCompensation"/>
      <w:bookmarkEnd w:id="1145"/>
      <w:r>
        <w:rPr>
          <w:rFonts w:ascii="Times New Roman;Times;Serif" w:hAnsi="Times New Roman;Times;Serif"/>
          <w:b w:val="false"/>
          <w:i w:val="false"/>
          <w:caps w:val="false"/>
          <w:smallCaps w:val="false"/>
          <w:sz w:val="20"/>
        </w:rPr>
        <w:t>1,000,000 RSUs. Both awards vest in sixteen equal quarterly installments commencing July 1, 2026, subject to continued service, and become fully vested upon a protected termination, a change in control, or the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Employment Agreements and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the Company entered into amended and restated employment agreements with the Company’s Chief Executive Officer (“CEO”) and the Company’s Interim Executive Chairman (“Interim Chairman”).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amended agreements, the Board granted each of the CEO and Interim Chairman </w:t>
      </w:r>
      <w:bookmarkStart w:id="1146" w:name="xdx_909_eus-gaap--ShareBasedCompensation"/>
      <w:bookmarkEnd w:id="1146"/>
      <w:r>
        <w:rPr>
          <w:rFonts w:ascii="Times New Roman;Times;Serif" w:hAnsi="Times New Roman;Times;Serif"/>
          <w:b w:val="false"/>
          <w:i w:val="false"/>
          <w:caps w:val="false"/>
          <w:smallCaps w:val="false"/>
          <w:sz w:val="20"/>
        </w:rPr>
        <w:t xml:space="preserve">1,500,000 PSUs for shares of the Company’s common stock, divided into five equal tranches of </w:t>
      </w:r>
      <w:bookmarkStart w:id="1147" w:name="xdx_90A_eus-gaap--StockIssuedDuringPerio"/>
      <w:bookmarkEnd w:id="1147"/>
      <w:r>
        <w:rPr>
          <w:rFonts w:ascii="Times New Roman;Times;Serif" w:hAnsi="Times New Roman;Times;Serif"/>
          <w:b w:val="false"/>
          <w:i w:val="false"/>
          <w:caps w:val="false"/>
          <w:smallCaps w:val="false"/>
          <w:sz w:val="20"/>
        </w:rPr>
        <w:t>300,000 shares each. Each tranche vests upon the Company’s cumulative sales of GLDY reaching the following milestones: (i) $</w:t>
      </w:r>
      <w:bookmarkStart w:id="1148" w:name="xdx_903_eus-gaap--SharebasedCompensation"/>
      <w:bookmarkEnd w:id="1148"/>
      <w:r>
        <w:rPr>
          <w:rFonts w:ascii="Times New Roman;Times;Serif" w:hAnsi="Times New Roman;Times;Serif"/>
          <w:b w:val="false"/>
          <w:i w:val="false"/>
          <w:caps w:val="false"/>
          <w:smallCaps w:val="false"/>
          <w:sz w:val="20"/>
        </w:rPr>
        <w:t>250,000,000; (ii) $</w:t>
      </w:r>
      <w:bookmarkStart w:id="1149" w:name="xdx_905_eus-gaap--SharebasedCompensation"/>
      <w:bookmarkEnd w:id="1149"/>
      <w:r>
        <w:rPr>
          <w:rFonts w:ascii="Times New Roman;Times;Serif" w:hAnsi="Times New Roman;Times;Serif"/>
          <w:b w:val="false"/>
          <w:i w:val="false"/>
          <w:caps w:val="false"/>
          <w:smallCaps w:val="false"/>
          <w:sz w:val="20"/>
        </w:rPr>
        <w:t>500,000,000; (iii) $</w:t>
      </w:r>
      <w:bookmarkStart w:id="1150" w:name="xdx_906_eus-gaap--SharebasedCompensation"/>
      <w:bookmarkEnd w:id="1150"/>
      <w:r>
        <w:rPr>
          <w:rFonts w:ascii="Times New Roman;Times;Serif" w:hAnsi="Times New Roman;Times;Serif"/>
          <w:b w:val="false"/>
          <w:i w:val="false"/>
          <w:caps w:val="false"/>
          <w:smallCaps w:val="false"/>
          <w:sz w:val="20"/>
        </w:rPr>
        <w:t>1,000,000,000; (iv) $</w:t>
      </w:r>
      <w:bookmarkStart w:id="1151" w:name="xdx_902_eus-gaap--SharebasedCompensation"/>
      <w:bookmarkEnd w:id="1151"/>
      <w:r>
        <w:rPr>
          <w:rFonts w:ascii="Times New Roman;Times;Serif" w:hAnsi="Times New Roman;Times;Serif"/>
          <w:b w:val="false"/>
          <w:i w:val="false"/>
          <w:caps w:val="false"/>
          <w:smallCaps w:val="false"/>
          <w:sz w:val="20"/>
        </w:rPr>
        <w:t>2,000,000,000; and (v) $</w:t>
      </w:r>
      <w:bookmarkStart w:id="1152" w:name="xdx_90C_eus-gaap--SharebasedCompensation"/>
      <w:bookmarkEnd w:id="1152"/>
      <w:r>
        <w:rPr>
          <w:rFonts w:ascii="Times New Roman;Times;Serif" w:hAnsi="Times New Roman;Times;Serif"/>
          <w:b w:val="false"/>
          <w:i w:val="false"/>
          <w:caps w:val="false"/>
          <w:smallCaps w:val="false"/>
          <w:sz w:val="20"/>
        </w:rPr>
        <w:t>3,000,000,000. Cumulative GLDY sales are measured in good faith by the Company and certified by the Compensation Committee. Vesting is subject to continued employment, except that the awards become fully vested upon a protected termination or a change in control. Any tranche that has not vested on or before the tenth anniversary of the effective date shall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April 1, 2026 and May 14, 2026, an aggregate of </w:t>
      </w:r>
      <w:bookmarkStart w:id="1153" w:name="xdx_90E_eus-gaap--StockIssuedDuringPerio"/>
      <w:bookmarkEnd w:id="1153"/>
      <w:r>
        <w:rPr>
          <w:rFonts w:ascii="Times New Roman;Times;Serif" w:hAnsi="Times New Roman;Times;Serif"/>
          <w:b w:val="false"/>
          <w:i w:val="false"/>
          <w:caps w:val="false"/>
          <w:smallCaps w:val="false"/>
          <w:sz w:val="20"/>
        </w:rPr>
        <w:t>5,890,148 Exchangeable Shares were converted into the same number of common stock by holders of the Exchangeable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Between April 1, 2026 and May 14, 2026, the Company issued </w:t>
      </w:r>
      <w:bookmarkStart w:id="1154" w:name="xdx_909_eus-gaap--SharebasedCompensation"/>
      <w:bookmarkEnd w:id="1154"/>
      <w:r>
        <w:rPr>
          <w:rFonts w:ascii="Times New Roman;Times;Serif" w:hAnsi="Times New Roman;Times;Serif"/>
          <w:b w:val="false"/>
          <w:i w:val="false"/>
          <w:caps w:val="false"/>
          <w:smallCaps w:val="false"/>
          <w:sz w:val="20"/>
        </w:rPr>
        <w:t xml:space="preserve">1,157,973 shares of common stock for vested restricted stock units, of which </w:t>
      </w:r>
      <w:bookmarkStart w:id="1155" w:name="xdx_900_eus-gaap--SharebasedCompensation"/>
      <w:bookmarkEnd w:id="1155"/>
      <w:r>
        <w:rPr>
          <w:rFonts w:ascii="Times New Roman;Times;Serif" w:hAnsi="Times New Roman;Times;Serif"/>
          <w:b w:val="false"/>
          <w:i w:val="false"/>
          <w:caps w:val="false"/>
          <w:smallCaps w:val="false"/>
          <w:sz w:val="20"/>
        </w:rPr>
        <w:t>723,611 shares were issued to related parties, including certain executive officers and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10, 2026, the Company entered into an Advisory &amp; Consulting Agreement with a third-party consultant. In connection with the agreement, the Company granted an RSU award for </w:t>
      </w:r>
      <w:bookmarkStart w:id="1156" w:name="xdx_909_eus-gaap--ShareBasedCompensation"/>
      <w:bookmarkEnd w:id="1156"/>
      <w:r>
        <w:rPr>
          <w:rFonts w:ascii="Times New Roman;Times;Serif" w:hAnsi="Times New Roman;Times;Serif"/>
          <w:b w:val="false"/>
          <w:i w:val="false"/>
          <w:caps w:val="false"/>
          <w:smallCaps w:val="false"/>
          <w:sz w:val="20"/>
        </w:rPr>
        <w:t xml:space="preserve">100,000 shares of the Company’s common stock, with </w:t>
      </w:r>
      <w:bookmarkStart w:id="1157" w:name="xdx_908_eus-gaap--SharebasedCompensation"/>
      <w:bookmarkEnd w:id="1157"/>
      <w:r>
        <w:rPr>
          <w:rFonts w:ascii="Times New Roman;Times;Serif" w:hAnsi="Times New Roman;Times;Serif"/>
          <w:b w:val="false"/>
          <w:i w:val="false"/>
          <w:caps w:val="false"/>
          <w:smallCaps w:val="false"/>
          <w:sz w:val="20"/>
        </w:rPr>
        <w:t xml:space="preserve">50,000 RSUs vesting and issued on the effective date and the remaining </w:t>
      </w:r>
      <w:bookmarkStart w:id="1158" w:name="xdx_90F_eus-gaap--SharebasedCompensation"/>
      <w:bookmarkStart w:id="1159" w:name="xdx_90B_eus-gaap--SharebasedCompensation"/>
      <w:bookmarkEnd w:id="1158"/>
      <w:bookmarkEnd w:id="1159"/>
      <w:r>
        <w:rPr>
          <w:rFonts w:ascii="Times New Roman;Times;Serif" w:hAnsi="Times New Roman;Times;Serif"/>
          <w:b w:val="false"/>
          <w:i w:val="false"/>
          <w:caps w:val="false"/>
          <w:smallCaps w:val="false"/>
          <w:sz w:val="20"/>
        </w:rPr>
        <w:t>50,000 RSUs vesting in two installments on the six-month and twelve-month anniversaries of the vesting commencement date, subject to continued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6, 2026, the Company entered into a Consulting Agreement with a third-party consultant. In connection with the agreement, the Company granted an RSU award for </w:t>
      </w:r>
      <w:bookmarkStart w:id="1160" w:name="xdx_90E_eus-gaap--ShareBasedCompensation"/>
      <w:bookmarkEnd w:id="1160"/>
      <w:r>
        <w:rPr>
          <w:rFonts w:ascii="Times New Roman;Times;Serif" w:hAnsi="Times New Roman;Times;Serif"/>
          <w:b w:val="false"/>
          <w:i w:val="false"/>
          <w:caps w:val="false"/>
          <w:smallCaps w:val="false"/>
          <w:sz w:val="20"/>
        </w:rPr>
        <w:t>155,000 shares of the Company’s common stock that were vested and issued on April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2026, the Company rescinded a previously approved equity compensation arrangement with the Company’s General Counsel covering </w:t>
      </w:r>
      <w:bookmarkStart w:id="1161" w:name="xdx_909_eus-gaap--StockIssuedDuringPerio"/>
      <w:bookmarkEnd w:id="1161"/>
      <w:r>
        <w:rPr>
          <w:rFonts w:ascii="Times New Roman;Times;Serif" w:hAnsi="Times New Roman;Times;Serif"/>
          <w:b w:val="false"/>
          <w:i w:val="false"/>
          <w:caps w:val="false"/>
          <w:smallCaps w:val="false"/>
          <w:sz w:val="20"/>
        </w:rPr>
        <w:t>700,000 shares of common stock. As part of this rescission, the shares were cancelled and the arrangement was terminated with no further equity compensation obligations.</w:t>
      </w:r>
    </w:p>
    <w:p>
      <w:pPr>
        <w:pStyle w:val="TextBody"/>
        <w:bidi w:val="0"/>
        <w:spacing w:before="0" w:after="0"/>
        <w:ind w:left="0" w:right="0" w:hanging="0"/>
        <w:jc w:val="left"/>
        <w:rPr>
          <w:caps w:val="false"/>
          <w:smallCaps w:val="false"/>
        </w:rPr>
      </w:pPr>
      <w:bookmarkStart w:id="1162" w:name="xdx_811_zZCt5MnGSoV3"/>
      <w:bookmarkEnd w:id="116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63" w:name="a_020"/>
      <w:bookmarkEnd w:id="1163"/>
      <w:r>
        <w:rPr>
          <w:rFonts w:ascii="Times New Roman;Times;Serif" w:hAnsi="Times New Roman;Times;Serif"/>
          <w:b/>
          <w:i w:val="false"/>
          <w:caps w:val="false"/>
          <w:smallCaps w:val="false"/>
          <w:sz w:val="20"/>
        </w:rPr>
        <w:t>ITEM 2. 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DISCUSSION AND ANALYSIS OF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Discussion and Analysis of Financial Condition and Results of Operations includes a number of forward-looking statements that reflect Management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current views with respect to future events and financial performance. You can identify these statements by forward-looking words such 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may,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will,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expect,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anticipate,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believe,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estimate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continue,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or similar words. Those statements include statements regarding the intent, belief or current expectations of us and members of our management team as well as the assumptions on which such statements are based. Prospective investors are cautioned that any such forward-looking statements are not guarantees of future performance and involve risk and uncertainties, and that actual results may differ materially from those contemplated by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Readers are urged to carefully review and consider the various disclosures made by us in this report and in our other reports filed with the Securities and Exchange Commission. Important factors currently known to Management could cause actual results to differ materially from those in forward-looking statements. We undertake no obligation to update or revise forward-looking statements to reflect changed assumptions, the occurrence of unanticipated events or changes in the future operating results over time. We believe that our assumptions are based upon reasonable data derived from and known about our business and operations. No assurances are made that actual results of operations or the results of our future activities will not differ materially from our assumptions. Factors that could cause differences include, but are not limited to, expected market demand for our products, fluctuations in pricing for materials, and competition.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the Company completed its acquisition of Streamex Exchange Corporation (“Streamex Exchange”). The unaudited condensed consolidated financial statements for the three months ended March 31, 2026 include the results of the Company and its consolidated subsidiaries, including Streamex Exchange, from the acquisition date, and VIE for which the Company is determined to be the primary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this acquisition, the Company expanded beyond its historical focus as a medical device technology company to a diversified technology platform centered on tokenized finance and the digitization of real-world assets (“RWAs”). Through Streamex Exchange, the Company has developed and operates an institutional grade technology platform that supports the tokenization of real-world assets, including gold, and other physical commodity asset interests. The Company operates as an infrastructure provider, enabling the issuance, trading, and backend infrastructure for digital tokens backed by tangible commodities, beginning with gold. The Company continues to operate its legacy medical device technology business, which focuses on healthcare technology innovation through the Company’s PURE EP™ Platform (“PURE 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evaluate strategic alternatives for its legacy majority-owned subsidiaries ViralClear Pharmaceuticals, Inc. (“ViralClear”) and BioSig AI Sciences, Inc. (“BioSig AI”). ViralClear’s business is currently dormant and ViralClear’s business objectives are being evaluated. BioSig AI’s business operations have currently been placed on 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 developed and commercialized advanced digital signal processing solutions for electrophysiology. PURE EP™ is designed to deliver real-time, high-fidelity cardiac signal data to electrophysiologists during ablation procedures for the treatment of cardiovascular arrhythmias. In recent periods, the Company has shifted its biomedical strategy toward research and development of proprietary software algorithms intended to enhance clinical decision-making and procedural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Streamex Exchange has developed and operates a blockchain-based platform designed to facilitate the compliant tokenization and exchange of RWAs. As of March 31, 2026, Streamex Exchange remained in the development stage and had not generated revenue. The Company launched GLDY and began actively accepting subscriptions during Q1 2026. Future revenue generation will depend on platform maturity, regulatory developments, market conditions, adoption and issuance volumes, and the Company’s ability to monetize GLDY and additional tokenized products through fee-based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through Streamex Ltd., a Cayman Islands special-purpose entity consolidated as a variable interest entity, acquired approximately $15,225 of gold bullion to support the GLDY Token program. As of March 31, 2026, the Company held approximately 98.5% of outstanding GLDY Tokens. Two related party officers of the Company subscribed for an aggregate of approximately $225 of GLDY Tokens during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operated as a single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Results of Operations (000</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results of operations will fluctuate for the foreseeable future due to several factors, such as the progress of our research and development and commercialization efforts, the timing and outcome of future regulatory submissions, and other macroeconomic and operational uncertainties. Due to these uncertainties, accurate predictions of future operations are difficult or impossible to make.</w:t>
      </w:r>
    </w:p>
    <w:p>
      <w:pPr>
        <w:pStyle w:val="TextBody"/>
        <w:bidi w:val="0"/>
        <w:spacing w:before="0" w:after="0"/>
        <w:ind w:left="0" w:right="0" w:firstLine="583"/>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Three Months Ended March 31, 2026 Compared to Three Months Ended March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 and Cost of Goods Sold</w:t>
      </w:r>
      <w:r>
        <w:rPr>
          <w:rFonts w:ascii="Times New Roman;Times;Serif" w:hAnsi="Times New Roman;Times;Serif"/>
          <w:b w:val="false"/>
          <w:i w:val="false"/>
          <w:caps w:val="false"/>
          <w:smallCaps w:val="false"/>
          <w:sz w:val="20"/>
        </w:rPr>
        <w:t>. Revenue for the three months ended March 31, 2026 and 2025 was $0 and $0, respectively, and comprised of recognized service revenue. Historically, the Company’s revenue has been generated from sales of the PURE EP™ Platform and related support services; however, commercial activity was not significant during the year ended December 31, 2024 and did not recur in subsequent periods.</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Research and development expenses for the three months ended March 31, 2026 were $0, a decrease of $6, or 100%, from $6 for the three months ended March 31, 2025. The decrease primarily reflects reduced research and development activity associated with the Company’s legacy medical device business as the Company has prioritized resources toward its tokenized finance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General and administrative expenses for the three months ended March 31, 2026 were $34,254, an increase of $31,297 or 1059%, from $2,957 incurred in the three months ended March 31, 2025. Stock-based compensation and common stock issued for services totaled $25,370 in the current period, representing approximately 74% of total general and administrative expenses, compared to $2,074 in the prior period, reflecting equity awards issued under consulting, advisory, and service arrangements. Additional increases were driven by higher professional fees, payroll, and compliance-related costs associated with expanded corporate activities during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Depreciation and Amortization Expense.</w:t>
      </w:r>
      <w:r>
        <w:rPr>
          <w:rFonts w:ascii="Times New Roman;Times;Serif" w:hAnsi="Times New Roman;Times;Serif"/>
          <w:b w:val="false"/>
          <w:i w:val="false"/>
          <w:caps w:val="false"/>
          <w:smallCaps w:val="false"/>
          <w:sz w:val="20"/>
        </w:rPr>
        <w:t xml:space="preserve"> Depreciation and amortization expense for the three months ended March 31, 2026 totaled $1,492, an increase of $1,471, or 7005%, over the expense of $21 incurred in the three months ended March 31, 2025, as a direct result of the amortization of the intangible assets recognized from the acquisition of Streamex Exchange. The Company’s intangible assets primarily consist of trade name, developed technology, legal and compliance framework, and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Income (Expense), net.</w:t>
      </w:r>
      <w:r>
        <w:rPr>
          <w:rFonts w:ascii="Times New Roman;Times;Serif" w:hAnsi="Times New Roman;Times;Serif"/>
          <w:b w:val="false"/>
          <w:i w:val="false"/>
          <w:caps w:val="false"/>
          <w:smallCaps w:val="false"/>
          <w:sz w:val="20"/>
        </w:rPr>
        <w:t xml:space="preserve"> Other income (expense), net for the three months ended March 31, 2026 totaled $(11,513), compared to other income of $184 for the three months ended March 31, 2025. The change of $(11,697) was driven primarily by the following items, none of which existed in the prior-year period due to the May 2025 acquisition of Streamex Exchange and the November/December 2025 convertible debenture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of $(12,195) consisted primarily of non-cash accretion of the debt discount and issuance costs associated with the Company’s Yorkville secured convertible debentures, which were outstanding from January 1, 2026 through their settlement on February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realized loss on extinguishment of convertible debentures of $(3,057) in connection with the February 2026 settlement, which included a cash payoff of $38,903 (comprised of $35,000 principal, $3,500 prepayment premium, and approximately $403 of accrued interest) and a conversion of $15,000 of principal into 3,750,000 shares. The loss represents the difference between the carrying amount of the debentures (net of unamortized discount) and the total consideration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charges were partially offset by a realized gain on sale of gold of $2,938 from the Company’s Streamex Ltd. (VIE) gold inventory transactions, a gain of $497 from the change in fair value of the embedded derivative liability prior to its derecognition upon the February 2026 debenture settlement, and a realized gain on marketable securities of $484. The Company also recognized a realized loss on investment of $(119) and a change in fair value of marketable securities of $(134).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prior-year period, other income of $184 consisted primarily of a gain on settlement and forgiveness of accounts payable and other liabilities of $199.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Income taxes (benefit). </w:t>
      </w:r>
      <w:r>
        <w:rPr>
          <w:rFonts w:ascii="Times New Roman;Times;Serif" w:hAnsi="Times New Roman;Times;Serif"/>
          <w:b w:val="false"/>
          <w:i w:val="false"/>
          <w:caps w:val="false"/>
          <w:smallCaps w:val="false"/>
          <w:sz w:val="20"/>
        </w:rPr>
        <w:t>For the three months ended March 31, 2026, the Company recorded an income tax benefit of $565, compared to $0 in the prior-year period. The benefit resulted from the reversal of a portion of the deferred tax liability associated with the amortization of identifiable intangible assets recognized in the Company’s acquisition of Streamex Exchange Corporation, which is held through the Company’s Canadian subsidiary. Intangible amortization for book purposes creates a temporary difference because such amortization is not deductible for Canadian income tax purposes, resulting in a deferred tax liability that reverses as the book basis of the intangible assets declines. The deferred tax liability was initially recognized as part of the acquisition accounting in May 2025 and is remeasured each period for changes in enacted tax rates and foreign currency translation. No comparable benefit was recorded in the prior-year period as the acquisition had not yet occurred.</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Preferred Stock Dividend</w:t>
      </w:r>
      <w:r>
        <w:rPr>
          <w:rFonts w:ascii="Times New Roman;Times;Serif" w:hAnsi="Times New Roman;Times;Serif"/>
          <w:b w:val="false"/>
          <w:i w:val="false"/>
          <w:caps w:val="false"/>
          <w:smallCaps w:val="false"/>
          <w:sz w:val="20"/>
        </w:rPr>
        <w:t>. Preferred stock dividend for the three months ended March 31, 2026 and 2025 totaled $2 and $2, respectively. Preferred stock dividends are related to the dividends accrued on our Series C Preferred Stock issued during the period from 2013 through 2015.</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 Attributable to Streamex Corp. Common Stockholders</w:t>
      </w:r>
      <w:r>
        <w:rPr>
          <w:rFonts w:ascii="Times New Roman;Times;Serif" w:hAnsi="Times New Roman;Times;Serif"/>
          <w:b w:val="false"/>
          <w:i w:val="false"/>
          <w:caps w:val="false"/>
          <w:smallCaps w:val="false"/>
          <w:sz w:val="20"/>
        </w:rPr>
        <w:t>. As a result of the foregoing, net loss attributable to common shareholders for the three months ended March 31, 2026 was $46,695 compared to a net loss of $2,814 for the three months ended March 31, 2025. The increase in net loss of $43,881 was primarily attributable to the changes in operating expenses, other income (expense), and income tax benefit described above.</w:t>
      </w:r>
    </w:p>
    <w:p>
      <w:pPr>
        <w:pStyle w:val="TextBody"/>
        <w:bidi w:val="0"/>
        <w:spacing w:before="0" w:after="0"/>
        <w:ind w:left="0" w:right="0" w:firstLine="64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working capital of approximately $42,602 and cash of $6,859. For the three months ended March 31, 2026, we used $10,179 in operating activities, used $1,500 in investing activities, and used $1,637 in financing activities, primarily reflecting the repayment of the remaining outstanding balance on the secured convertible debentures of approximately $38.5 million, substantially offset by net proceeds of approximately $37.2 million from an underwritten public offering completed in January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strengthened its liquidity position through financing transactions and asset monetization activities and eliminated its outstanding convertible debt. In January 2026, the Company completed an underwritten public offering generating net proceeds of approximately $37.2 million. The Company also received approximately $10.2 million from the sale of marketable securities and approximately $26.4 million from the sale of gold bullion that had been classified as held for sale as of December 31, 2025. In February 2026, following a partial conversion of the secured convertible debentures into common stock, the Company repaid the remaining outstanding balance for an aggregate cash payment of approximately $38.5 million, and all related security interests were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incurring operating losses and negative cash flows until our products, including the Streamex Exchange’s digital asset infrastructure and PURE EP™ Platform initiatives, achieve sustained commercial success. Although the PURE EP™ Platform is commercially available, revenues to date have not been material, and the timing and extent of future revenues remain uncertain. The Company launched GLDY and began accepting subscriptions; however, revenues to date have not been material. We expect to incur additional costs related to software development, regulatory compliance, and strategic partnerships prior to the commencement of any material revenue-generating activities. The timing and extent of any future revenues will depend on, among other things, continued investor adoption of GLDY, completion of development milestones, regulatory considerations, market conditions, and the successful commercialization of the Streamex Exchange platform and related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existing cash and working capital position, management believes that the Company has the ability to continue as a going concern for at least one year from the issuance date of the unaudited condensed consolidated financial statements included in this Quarterly Report on Form 10-Q. The Company believes it will have sufficient liquidity to meet its anticipated working capital requirements, capital expenditures, and other liquidity needs during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 Strategy and Uses of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strategy focuses on maintaining sufficient liquidity to support ongoing operations, product development, and strategic initiatives, while preserving balance sheet flexibility. We may evaluate additional capital sources from time to time, including:</w:t>
      </w:r>
    </w:p>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or private equity offerings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or licensing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or non-dilutive funding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financing, where feasible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previously implemented cost-saving measures to reduce cash burn, we have increased spending to accelerate the commercialization of the Streamex Exchange platform and related initiatives. These efforts are intended to support long-term growth but will increase near-term cash requirements. There can be no assurance that any future financing, if pursued, would be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financing may include the issuance of equity or debt securities, credit facilities, or other arrangements. Any such financing could result in dilution to existing stockholders or the issuance of securities with rights senior to those of our common stock. Market volatility and macroeconomic conditions may also adversely affect our ability to raise capital on acceptable terms. These financing arrangements are part of management’s broader strategy to address liquidity needs and support commercialization, research and development, and infrastructure expansion. However, there can be no assurance that financing will be available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additional capital were required and not obtained on acceptable terms, we may be required to delay or reduce certain research and development programs, scale back commercialization efforts, or enter into strategic arrangements that could require us to relinquish rights to certain technologies or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forecast includes assumptions regarding the timing of Streamex Exchange’s development and commercialization activities, planned expenditures, and cost containment measures.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and Repayment of Convertible debentures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2026, Yorkville elected to convert $15,000 of principal into shares of the Company’s common stock at a conversion price of $4.00 per share, resulting in the issuance of 3,750,000 shares. No accrued interest was converted.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expiration of the conversion election period, the Company prepaid the remaining amounts outstanding under the Convertible Debentures for an aggregate cash payoff of approximately $38,903, consisting of $35,000 of principal, $3,500 of prepayment premium, and approximately $403 of accrued interest. Upon payment in full, the Convertible Debentures were satisfied and terminated, and all related security interests and liens were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2026, the Company entered into an underwriting agreement with Needham &amp; Company, LLC, as representative of the several underwriters, in connection with an underwritten public offering of the Company’s common stock. The Company issued 11,666,667 shares of common stock at a public offering price of $3.00 per share. The underwriters fully exercised their over-allotment option, resulting in the issuance of an additional 1,750,000 shares of common stock. Aggregate gross proceeds from the offering, including the over-allotment option, were approximately $40,250, before underwriting discounts, commissions, and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Future Capital Requirements and Risks</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incurring expenses related to:</w:t>
      </w:r>
    </w:p>
    <w:p>
      <w:pPr>
        <w:pStyle w:val="TextBody"/>
        <w:bidi w:val="0"/>
        <w:spacing w:before="0" w:after="0"/>
        <w:ind w:left="0" w:right="0" w:firstLine="583"/>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business infrastructure and public company compliance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and scaling of Streamex Exchange’s tokenization platform and digital asset infrastructure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real-world asset (RWA) tokenization solutions, including commodities-on-chain initiatives</w:t>
            </w:r>
          </w:p>
        </w:tc>
      </w:tr>
    </w:tbl>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will depend on several factors, including:</w:t>
      </w:r>
    </w:p>
    <w:p>
      <w:pPr>
        <w:pStyle w:val="TextBody"/>
        <w:bidi w:val="0"/>
        <w:spacing w:before="0" w:after="0"/>
        <w:ind w:left="0" w:right="0" w:firstLine="583"/>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and results of our R&amp;D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and outcome of regulatory approvals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intellectual property protection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and commercialization success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financing and strategic partnerships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Streamex Exchange’s growth strategy within the global commodities and digital asset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and personnel investments required to support Streamex Exchange’s platform scalability and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unaudited condensed consolidated financial statements in accordance with GAAP, which require management to make estimates and assumptions that affect the reported amounts of assets, liabilities, revenues, expenses, and related disclosures. These estimates are based on historical experience, current conditions, and other factors that management believes to be reasonable under the circumstances. Actual results may differ materially from these estimates, and such differences could have a significant impact on our financial condition or results of operations.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unaudited condensed consolidated financial statements that require estimation but are not deemed critical, as defined above.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Note 3—Summary of Significant Accounting Policies to our unaudited condensed consolidated financial statements included in this report.</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64" w:name="a_009"/>
      <w:bookmarkEnd w:id="1164"/>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under Regulation S-K for “smaller reporting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65" w:name="a_010"/>
      <w:bookmarkEnd w:id="1165"/>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March 31, 2026.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evaluation, our Chief Executive Officer and Chief Financial Officer have concluded that, as of March 31, 2026, our disclosure controls and procedures were not effective due to the material weaknesses in our internal control over financial reporting described below and previously reported in our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Weaknesses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our Annual Report on Form 10-K for the year ended December 31, 2025, management identified the following material weaknesses in the Company’s internal control over financial reporting as of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inadequate identification, recording, and reporting of stock-based compensation;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ineffective review processes over period-end financial disclosure and reporting, including review of information produced by the entity (“IPE”);</w:t>
            </w:r>
          </w:p>
        </w:tc>
      </w:tr>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inadequate segregation of duties for transaction posting and processing;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ineffective review controls over business combinations and related financial instruments.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did not result in any identified misstatements to the unaudited condensed consolidated financial statements and there were no changes to previously released financial results. These material weaknesses had not been remediated as of March 31, 2026, and accordingly, management concluded that our disclosure controls and procedures were not effective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initiated and continues to execute remediation plans to address the material weaknesses described above. During the three months ended March 31, 2026, management undertook the following remediation actions: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Appointed a new Chief Financial Officer, effective March 16, 2026, to strengthen financial leadership and oversight of the accounting and reporting function;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Engaged external technical accounting and financial reporting advisors to assist with complex accounting matters, including stock-based compensation, business combination accounting, and derivative financial instruments;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Began enhancing supervisory review controls over period-end financial disclosures and reporting processes;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Commenced evaluation of additional staffing and process improvements to strengthen segregation of duties within the finance and accounting function.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these actions, once fully implemented and operating effectively for a sufficient period of time, will remediate the underlying control deficiencies. The material weaknesses will not be considered remediated until the applicable controls have operated for a sufficient period of time and management has concluded, through testing, that these controls are operating effectively. There can be no assurance that our remediation efforts will be successful or that our internal control over financial reporting will be effective as a result of these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remediation actions described above, there were no changes in our internal control over financial reporting (as defined in Rules 13a-15(f) and 15d-15(f) under the Exchange Act) that occurred during the quarter ended March 31, 2026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66" w:name="a_011"/>
      <w:bookmarkEnd w:id="1166"/>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67" w:name="a_012"/>
      <w:bookmarkEnd w:id="1167"/>
      <w:r>
        <w:rPr>
          <w:rFonts w:ascii="Times New Roman;Times;Serif" w:hAnsi="Times New Roman;Times;Serif"/>
          <w:b/>
          <w:i w:val="false"/>
          <w:caps w:val="false"/>
          <w:smallCaps w:val="false"/>
          <w:sz w:val="20"/>
        </w:rPr>
        <w:t>ITEM 1. LEGAL PROCEEDINGS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at times to other legal proceedings and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pStyle w:val="TextBody"/>
        <w:bidi w:val="0"/>
        <w:spacing w:before="0" w:after="0"/>
        <w:ind w:left="0" w:right="0" w:firstLine="583"/>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Item 1 - Legal Proceedings” During the fiscal quarter ended March 31, 2026, there have been no material changes from the legal proceedings discussed in our Annual Report on Form 10-K for the year ended December 31, 2025.</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68" w:name="a_013"/>
      <w:bookmarkEnd w:id="1168"/>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other information contained elsewhere in this Quarterly Report on Form 10-Q, you should carefully consider the risk factors discussed in Part I, Item 1A. Risk Factors in our Annual Report on Form 10-K filed with the SEC on March 31, 2026, or the Annual Report, which could materially affect our business, financial condition, or future results. As of the date of this Quarterly Report on Form 10-Q, there have been no material changes to the risk factors disclosed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69" w:name="a_014"/>
      <w:bookmarkEnd w:id="1169"/>
      <w:r>
        <w:rPr>
          <w:rFonts w:ascii="Times New Roman;Times;Serif" w:hAnsi="Times New Roman;Times;Serif"/>
          <w:b/>
          <w:i w:val="false"/>
          <w:caps w:val="false"/>
          <w:smallCaps w:val="false"/>
          <w:sz w:val="20"/>
        </w:rPr>
        <w:t>ITEM 2. UNREGISTERED SALES OF EQUITY SECURITIES, USE OF PROCEEDS, AND ISSUER PURCHASES OF EQUITY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issued the following shares of its common stock in transactions not registered under the Securities Act of 1933, as amended (the “Securities Act”):</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January 2, 2026: </w:t>
            </w:r>
            <w:r>
              <w:rPr>
                <w:rFonts w:ascii="Times New Roman;Times;Serif" w:hAnsi="Times New Roman;Times;Serif"/>
                <w:b w:val="false"/>
                <w:i w:val="false"/>
                <w:caps w:val="false"/>
                <w:smallCaps w:val="false"/>
                <w:sz w:val="20"/>
              </w:rPr>
              <w:t>Issued 16,015 shares of common stock upon cashless exercise of warrants to purchase 23,154 shares at a weighted average exercise price of $0.9547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February 26, 2026: </w:t>
            </w:r>
            <w:r>
              <w:rPr>
                <w:rFonts w:ascii="Times New Roman;Times;Serif" w:hAnsi="Times New Roman;Times;Serif"/>
                <w:b w:val="false"/>
                <w:i w:val="false"/>
                <w:caps w:val="false"/>
                <w:smallCaps w:val="false"/>
                <w:sz w:val="20"/>
              </w:rPr>
              <w:t>Issued 38,632 shares of common stock upon cashless exercise of warrants to purchase 64,830 shares at a weighted average exercise price of $0.9547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above issuances were made in reliance on the exemption from registration provided by Section 4(a)(2) of the Securities Act and/or Rule 506 of Regulation D, as applicable. These transactions did not involve any public offering, and the recipients represented their intent to acquire the securities for investment purposes only and not with a view to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70" w:name="a_015"/>
      <w:bookmarkEnd w:id="1170"/>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71" w:name="a_016"/>
      <w:bookmarkEnd w:id="1171"/>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72" w:name="a_017"/>
      <w:bookmarkEnd w:id="1172"/>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73" w:name="a_018"/>
      <w:bookmarkEnd w:id="1173"/>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6"/>
        <w:gridCol w:w="60"/>
        <w:gridCol w:w="9309"/>
      </w:tblGrid>
      <w:tr>
        <w:trPr/>
        <w:tc>
          <w:tcPr>
            <w:tcW w:w="83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Underwriting Agreement, dated as of January 22, 2026, by and among the Company, and Needham &amp; Company (incorporated by reference to Exhibit 1.1 to the Company’s Current Report on Form 8-K filed on January 27, 2026).</w:t>
              </w:r>
            </w:hyperlink>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Offer Letter, dated February 3, 2026 (incorporated by reference to Exhibit 10.1 to the Company’s Current Report on Form 8-K filed on February 9, 2026).</w:t>
              </w:r>
            </w:hyperlink>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Offer Letter, dated March 3, 2026 (incorporated by reference to Exhibit 10.1 to the Company’s Current Report on Form 8-K filed on March 6, 2026).</w:t>
              </w:r>
            </w:hyperlink>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Separation and General Release Agreement, dated March 20, 2026 (incorporated by reference to Exhibit 10.1 to the Company’s Current Report on Form 8-K filed on March 20, 2026).</w:t>
              </w:r>
            </w:hyperlink>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Consulting Agreement, dated as of March 20, 2026, by and between the Company and Groenewald Enterprises LLC (incorporated by reference to Exhibit 10.2 to the Company’s Current Report on Form 8-K filed on March 20, 2026).</w:t>
              </w:r>
            </w:hyperlink>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Employment Agreement, dated March 16, 2026, by and between the Company and Christine Plummer (incorporated by reference to Exhibit 10.3 to the Company’s Current Report on Form 8-K filed on March 20, 2026).</w:t>
              </w:r>
            </w:hyperlink>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Lock-Up Agreement, dated March 26, 2026 (incorporated by reference to Exhibit 10.1 to the Company’s Current Report on Form 8-K filed on March 27, 2026).</w:t>
              </w:r>
            </w:hyperlink>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Exchange Act Rules 13a-14(a) and 15d-14(a), as adopted pursuant to Section 302 of the Sarbanes-Oxley Act of 2002</w:t>
              </w:r>
            </w:hyperlink>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Exchange Act Rules 13a-14(a) and 15d-14(a), as adopted pursuant to Section 302 of the Sarbanes-Oxley Act of 2002</w:t>
              </w:r>
            </w:hyperlink>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Calculation Linkbase Document</w:t>
            </w:r>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Labels Linkbase Document</w:t>
            </w:r>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Presentation Linkbase Document</w:t>
            </w:r>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3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09"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74" w:name="a_019"/>
      <w:bookmarkEnd w:id="1174"/>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1655"/>
        <w:gridCol w:w="320"/>
        <w:gridCol w:w="555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87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McPhie</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McPhie</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Christine Plummer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Plummer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1175" w:name="ex31-1.htm"/>
      <w:bookmarkStart w:id="1176" w:name="ksex311"/>
      <w:bookmarkEnd w:id="1175"/>
      <w:bookmarkEnd w:id="117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Henry McPhie,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Streamex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reasonable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p>
      <w:pPr>
        <w:pStyle w:val="TextBody"/>
        <w:bidi w:val="0"/>
        <w:spacing w:before="0" w:after="0"/>
        <w:ind w:left="0" w:right="0" w:hanging="0"/>
        <w:jc w:val="both"/>
        <w:rPr>
          <w:caps w:val="false"/>
          <w:smallCaps w:val="false"/>
        </w:rPr>
      </w:pPr>
      <w:r>
        <w:rPr>
          <w:caps w:val="false"/>
          <w:smallCaps w:val="false"/>
        </w:rPr>
        <w:t> </w:t>
      </w:r>
    </w:p>
    <w:tbl>
      <w:tblPr>
        <w:tblW w:w="4400" w:type="dxa"/>
        <w:jc w:val="left"/>
        <w:tblInd w:w="0" w:type="dxa"/>
        <w:tblLayout w:type="fixed"/>
        <w:tblCellMar>
          <w:top w:w="0" w:type="dxa"/>
          <w:left w:w="0" w:type="dxa"/>
          <w:bottom w:w="28" w:type="dxa"/>
          <w:right w:w="0" w:type="dxa"/>
        </w:tblCellMar>
      </w:tblPr>
      <w:tblGrid>
        <w:gridCol w:w="4325"/>
        <w:gridCol w:w="75"/>
      </w:tblGrid>
      <w:tr>
        <w:trPr/>
        <w:tc>
          <w:tcPr>
            <w:tcW w:w="432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McPhie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McPhie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(Principal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1177" w:name="ex31-2.htm"/>
      <w:bookmarkStart w:id="1178" w:name="ksex312"/>
      <w:bookmarkEnd w:id="1177"/>
      <w:bookmarkEnd w:id="117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Christine Plummer,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Streamex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reasonable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p>
      <w:pPr>
        <w:pStyle w:val="TextBody"/>
        <w:bidi w:val="0"/>
        <w:spacing w:before="0" w:after="0"/>
        <w:ind w:left="0" w:right="0" w:hanging="0"/>
        <w:jc w:val="both"/>
        <w:rPr>
          <w:caps w:val="false"/>
          <w:smallCaps w:val="false"/>
        </w:rPr>
      </w:pPr>
      <w:r>
        <w:rPr>
          <w:caps w:val="false"/>
          <w:smallCaps w:val="false"/>
        </w:rPr>
        <w:t> </w:t>
      </w:r>
    </w:p>
    <w:tbl>
      <w:tblPr>
        <w:tblW w:w="5630" w:type="dxa"/>
        <w:jc w:val="left"/>
        <w:tblInd w:w="0" w:type="dxa"/>
        <w:tblLayout w:type="fixed"/>
        <w:tblCellMar>
          <w:top w:w="0" w:type="dxa"/>
          <w:left w:w="0" w:type="dxa"/>
          <w:bottom w:w="28" w:type="dxa"/>
          <w:right w:w="0" w:type="dxa"/>
        </w:tblCellMar>
      </w:tblPr>
      <w:tblGrid>
        <w:gridCol w:w="5555"/>
        <w:gridCol w:w="75"/>
      </w:tblGrid>
      <w:tr>
        <w:trPr/>
        <w:tc>
          <w:tcPr>
            <w:tcW w:w="555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Christine Plummer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Plummer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5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179" w:name="ex32-1.htm"/>
      <w:bookmarkStart w:id="1180" w:name="ksex321"/>
      <w:bookmarkEnd w:id="1179"/>
      <w:bookmarkEnd w:id="118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OF CHIEF EXECUTIVE OFFICER AND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Henry McPhie, certify, pursuant to 18 U.S.C. Section 1350, as adopted pursuant to Section 906 of the Sarbanes-Oxley Act of 2002, that the Quarterly Report of Streamex Corp. on Form 10-Q for the fiscal quarter ended March 31, 2026 fully complies with the requirements of Section 13(a) or 15(d) of the Securities Exchange Act of 1934 and that information contained in this Quarterly Report on Form 10-Q fairly presents in all material respects the financial condition and results of operations of Streamex Corp.</w:t>
      </w:r>
    </w:p>
    <w:p>
      <w:pPr>
        <w:pStyle w:val="TextBody"/>
        <w:bidi w:val="0"/>
        <w:spacing w:before="0" w:after="0"/>
        <w:ind w:left="0" w:right="0" w:hanging="0"/>
        <w:jc w:val="center"/>
        <w:rPr>
          <w:caps w:val="false"/>
          <w:smallCaps w:val="false"/>
        </w:rPr>
      </w:pPr>
      <w:r>
        <w:rPr>
          <w:caps w:val="false"/>
          <w:smallCaps w:val="false"/>
        </w:rPr>
        <w:t> </w:t>
      </w:r>
    </w:p>
    <w:tbl>
      <w:tblPr>
        <w:tblW w:w="6540" w:type="dxa"/>
        <w:jc w:val="left"/>
        <w:tblInd w:w="0" w:type="dxa"/>
        <w:tblLayout w:type="fixed"/>
        <w:tblCellMar>
          <w:top w:w="0" w:type="dxa"/>
          <w:left w:w="0" w:type="dxa"/>
          <w:bottom w:w="0" w:type="dxa"/>
          <w:right w:w="0" w:type="dxa"/>
        </w:tblCellMar>
      </w:tblPr>
      <w:tblGrid>
        <w:gridCol w:w="1655"/>
        <w:gridCol w:w="545"/>
        <w:gridCol w:w="434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McPhie</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McPhie</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4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Christine Plummer, certify, pursuant to 18 U.S.C. Section 1350, as adopted pursuant to Section 906 of the Sarbanes-Oxley Act of 2002, that the Quarterly Report of Streamex Corp. on Form 10-Q for the fiscal quarter ended March 31, 2026 fully complies with the requirements of Section 13(a) or 15(d) of the Securities Exchange Act of 1934 and that information contained in this Quarterly Report on Form 10-Q fairly presents in all material respects the financial condition and results of operations of Streamex Corp.</w:t>
      </w:r>
    </w:p>
    <w:p>
      <w:pPr>
        <w:pStyle w:val="TextBody"/>
        <w:bidi w:val="0"/>
        <w:spacing w:before="0" w:after="0"/>
        <w:ind w:left="0" w:right="0" w:hanging="0"/>
        <w:jc w:val="center"/>
        <w:rPr>
          <w:caps w:val="false"/>
          <w:smallCaps w:val="false"/>
        </w:rPr>
      </w:pPr>
      <w:r>
        <w:rPr>
          <w:caps w:val="false"/>
          <w:smallCaps w:val="false"/>
        </w:rPr>
        <w:t> </w:t>
      </w:r>
    </w:p>
    <w:tbl>
      <w:tblPr>
        <w:tblW w:w="7755" w:type="dxa"/>
        <w:jc w:val="left"/>
        <w:tblInd w:w="0" w:type="dxa"/>
        <w:tblLayout w:type="fixed"/>
        <w:tblCellMar>
          <w:top w:w="0" w:type="dxa"/>
          <w:left w:w="0" w:type="dxa"/>
          <w:bottom w:w="0" w:type="dxa"/>
          <w:right w:w="0" w:type="dxa"/>
        </w:tblCellMar>
      </w:tblPr>
      <w:tblGrid>
        <w:gridCol w:w="1655"/>
        <w:gridCol w:w="545"/>
        <w:gridCol w:w="555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Christine Plummer</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14,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Plummer</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30766/000149315226003820/ex1-1.htm" TargetMode="External"/><Relationship Id="rId3" Type="http://schemas.openxmlformats.org/officeDocument/2006/relationships/hyperlink" Target="https://www.sec.gov/Archives/edgar/data/1530766/000149315226005784/ex10-1.htm" TargetMode="External"/><Relationship Id="rId4" Type="http://schemas.openxmlformats.org/officeDocument/2006/relationships/hyperlink" Target="https://www.sec.gov/Archives/edgar/data/1530766/000149315226009128/ex10-1.htm" TargetMode="External"/><Relationship Id="rId5" Type="http://schemas.openxmlformats.org/officeDocument/2006/relationships/hyperlink" Target="https://www.sec.gov/Archives/edgar/data/1530766/000149315226011933/ex10-1.htm" TargetMode="External"/><Relationship Id="rId6" Type="http://schemas.openxmlformats.org/officeDocument/2006/relationships/hyperlink" Target="https://www.sec.gov/Archives/edgar/data/1530766/000149315226011933/ex10-2.htm" TargetMode="External"/><Relationship Id="rId7" Type="http://schemas.openxmlformats.org/officeDocument/2006/relationships/hyperlink" Target="https://www.sec.gov/Archives/edgar/data/1530766/000149315226011933/ex10-3.htm" TargetMode="External"/><Relationship Id="rId8" Type="http://schemas.openxmlformats.org/officeDocument/2006/relationships/hyperlink" Target="https://www.sec.gov/Archives/edgar/data/1530766/000149315226013084/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24464</Words>
  <Characters>138494</Characters>
  <CharactersWithSpaces>164178</CharactersWithSpaces>
  <Paragraphs>6136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